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AF9" w:rsidRPr="00637C10" w:rsidRDefault="005D51F7" w:rsidP="00637C10">
      <w:pPr>
        <w:pStyle w:val="BodyText21"/>
        <w:spacing w:after="120" w:line="240" w:lineRule="auto"/>
        <w:ind w:right="26"/>
        <w:outlineLvl w:val="0"/>
        <w:rPr>
          <w:rFonts w:ascii="Tahoma" w:hAnsi="Tahoma" w:cs="Tahoma"/>
          <w:b/>
          <w:sz w:val="20"/>
        </w:rPr>
      </w:pPr>
      <w:r>
        <w:rPr>
          <w:rFonts w:ascii="Tahoma" w:hAnsi="Tahoma" w:cs="Tahoma"/>
          <w:b/>
          <w:sz w:val="20"/>
        </w:rPr>
        <w:t>ΠΑΡΑΡΤΗΜΑ</w:t>
      </w:r>
      <w:bookmarkStart w:id="0" w:name="_GoBack"/>
      <w:bookmarkEnd w:id="0"/>
      <w:r w:rsidR="009C7AF9" w:rsidRPr="00637C10">
        <w:rPr>
          <w:rFonts w:ascii="Tahoma" w:hAnsi="Tahoma" w:cs="Tahoma"/>
          <w:b/>
          <w:sz w:val="20"/>
        </w:rPr>
        <w:t xml:space="preserve"> </w:t>
      </w:r>
      <w:r w:rsidR="00EC654E" w:rsidRPr="00637C10">
        <w:rPr>
          <w:rFonts w:ascii="Tahoma" w:hAnsi="Tahoma" w:cs="Tahoma"/>
          <w:b/>
          <w:sz w:val="20"/>
        </w:rPr>
        <w:t>–</w:t>
      </w:r>
      <w:r w:rsidR="009C7AF9" w:rsidRPr="00637C10">
        <w:rPr>
          <w:rFonts w:ascii="Tahoma" w:hAnsi="Tahoma" w:cs="Tahoma"/>
          <w:b/>
          <w:sz w:val="20"/>
        </w:rPr>
        <w:t xml:space="preserve"> </w:t>
      </w:r>
      <w:r w:rsidR="00EC654E" w:rsidRPr="00637C10">
        <w:rPr>
          <w:rFonts w:ascii="Tahoma" w:hAnsi="Tahoma" w:cs="Tahoma"/>
          <w:b/>
          <w:sz w:val="20"/>
        </w:rPr>
        <w:t>Έλεγχος τήρησης υποχρεώσεων του Κανονισμού (ΕΕ) αριθ. 651/2014 της Επιτροπής, της 17</w:t>
      </w:r>
      <w:r w:rsidR="00EC654E" w:rsidRPr="00637C10">
        <w:rPr>
          <w:rFonts w:ascii="Tahoma" w:hAnsi="Tahoma" w:cs="Tahoma"/>
          <w:b/>
          <w:sz w:val="20"/>
          <w:vertAlign w:val="superscript"/>
        </w:rPr>
        <w:t>ης</w:t>
      </w:r>
      <w:r w:rsidR="00EC654E" w:rsidRPr="00637C10">
        <w:rPr>
          <w:rFonts w:ascii="Tahoma" w:hAnsi="Tahoma" w:cs="Tahoma"/>
          <w:b/>
          <w:sz w:val="20"/>
        </w:rPr>
        <w:t xml:space="preserve"> Ιουνίου 2014, για την </w:t>
      </w:r>
      <w:r w:rsidR="00313779" w:rsidRPr="00637C10">
        <w:rPr>
          <w:rFonts w:ascii="Tahoma" w:hAnsi="Tahoma" w:cs="Tahoma"/>
          <w:b/>
          <w:sz w:val="20"/>
        </w:rPr>
        <w:t>κήρυξη</w:t>
      </w:r>
      <w:r w:rsidR="00EC654E" w:rsidRPr="00637C10">
        <w:rPr>
          <w:rFonts w:ascii="Tahoma" w:hAnsi="Tahoma" w:cs="Tahoma"/>
          <w:b/>
          <w:sz w:val="20"/>
        </w:rPr>
        <w:t xml:space="preserve"> ορισμένων κατηγοριών ενισχύσεων ως συμβατών με την εσωτερική αγορά κατ’ εφαρμογή των άρθρων 107 και 108 της Συνθήκες (Γ</w:t>
      </w:r>
      <w:r w:rsidR="00880E0A">
        <w:rPr>
          <w:rFonts w:ascii="Tahoma" w:hAnsi="Tahoma" w:cs="Tahoma"/>
          <w:b/>
          <w:sz w:val="20"/>
        </w:rPr>
        <w:t>ενικός Απαλλακτικός Κανονισμός - Γ</w:t>
      </w:r>
      <w:r w:rsidR="00EC654E" w:rsidRPr="00637C10">
        <w:rPr>
          <w:rFonts w:ascii="Tahoma" w:hAnsi="Tahoma" w:cs="Tahoma"/>
          <w:b/>
          <w:sz w:val="20"/>
        </w:rPr>
        <w:t>ΑΚ)</w:t>
      </w:r>
      <w:r w:rsidR="008A556D">
        <w:rPr>
          <w:rFonts w:ascii="Tahoma" w:hAnsi="Tahoma" w:cs="Tahoma"/>
          <w:b/>
          <w:sz w:val="20"/>
        </w:rPr>
        <w:t>, όπως ισχύει</w:t>
      </w:r>
    </w:p>
    <w:p w:rsidR="00313779" w:rsidRPr="00637C10" w:rsidRDefault="00313779" w:rsidP="00637C10">
      <w:pPr>
        <w:pStyle w:val="BodyText21"/>
        <w:spacing w:after="120" w:line="240" w:lineRule="auto"/>
        <w:ind w:right="26"/>
        <w:outlineLvl w:val="0"/>
        <w:rPr>
          <w:rFonts w:ascii="Tahoma" w:hAnsi="Tahoma" w:cs="Tahoma"/>
          <w:b/>
          <w:sz w:val="20"/>
        </w:rPr>
      </w:pPr>
    </w:p>
    <w:p w:rsidR="00313779" w:rsidRPr="00637C10" w:rsidRDefault="00313779" w:rsidP="00637C10">
      <w:pPr>
        <w:pStyle w:val="BodyText21"/>
        <w:spacing w:after="120" w:line="240" w:lineRule="auto"/>
        <w:ind w:right="26"/>
        <w:outlineLvl w:val="0"/>
        <w:rPr>
          <w:rFonts w:ascii="Tahoma" w:hAnsi="Tahoma" w:cs="Tahoma"/>
          <w:b/>
          <w:sz w:val="20"/>
        </w:rPr>
      </w:pPr>
      <w:r w:rsidRPr="00637C10">
        <w:rPr>
          <w:rFonts w:ascii="Tahoma" w:hAnsi="Tahoma" w:cs="Tahoma"/>
          <w:b/>
          <w:sz w:val="20"/>
        </w:rPr>
        <w:t xml:space="preserve">Α. Υποχρεώσεις Γενικού μέρους </w:t>
      </w:r>
      <w:r w:rsidR="00784ED5" w:rsidRPr="00637C10">
        <w:rPr>
          <w:rFonts w:ascii="Tahoma" w:hAnsi="Tahoma" w:cs="Tahoma"/>
          <w:b/>
          <w:sz w:val="20"/>
        </w:rPr>
        <w:t xml:space="preserve">(Κεφαλαίου Ι) </w:t>
      </w:r>
      <w:r w:rsidRPr="00637C10">
        <w:rPr>
          <w:rFonts w:ascii="Tahoma" w:hAnsi="Tahoma" w:cs="Tahoma"/>
          <w:b/>
          <w:sz w:val="20"/>
        </w:rPr>
        <w:t>του ΓΑΚ</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Πρέπει να τηρούνται τα ακόλουθα</w:t>
      </w:r>
      <w:r w:rsidR="00C06212" w:rsidRPr="00637C10">
        <w:rPr>
          <w:rFonts w:ascii="Tahoma" w:hAnsi="Tahoma" w:cs="Tahoma"/>
          <w:sz w:val="20"/>
          <w:szCs w:val="20"/>
        </w:rPr>
        <w:t xml:space="preserve"> </w:t>
      </w:r>
      <w:r w:rsidR="008A556D">
        <w:rPr>
          <w:rFonts w:ascii="Tahoma" w:hAnsi="Tahoma" w:cs="Tahoma"/>
          <w:sz w:val="20"/>
          <w:szCs w:val="20"/>
        </w:rPr>
        <w:t xml:space="preserve">καθώς </w:t>
      </w:r>
      <w:r w:rsidR="00C06212" w:rsidRPr="00637C10">
        <w:rPr>
          <w:rFonts w:ascii="Tahoma" w:hAnsi="Tahoma" w:cs="Tahoma"/>
          <w:sz w:val="20"/>
          <w:szCs w:val="20"/>
        </w:rPr>
        <w:t>και να προβλέπεται διαδικασία/μηχανισμός επιβεβαίωσης και παρακολούθησης της συμβατότητας με τα ακόλουθα</w:t>
      </w:r>
      <w:r w:rsidRPr="00637C10">
        <w:rPr>
          <w:rFonts w:ascii="Tahoma" w:hAnsi="Tahoma" w:cs="Tahoma"/>
          <w:sz w:val="20"/>
          <w:szCs w:val="20"/>
        </w:rPr>
        <w:t>:</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 xml:space="preserve">Αποκλεισμός των επιχειρήσεων τις οποίες αφορά ο κανόνας </w:t>
      </w:r>
      <w:proofErr w:type="spellStart"/>
      <w:r w:rsidRPr="00637C10">
        <w:rPr>
          <w:rFonts w:ascii="Tahoma" w:hAnsi="Tahoma" w:cs="Tahoma"/>
          <w:sz w:val="20"/>
          <w:szCs w:val="20"/>
          <w:u w:val="single"/>
        </w:rPr>
        <w:t>Deggendorf</w:t>
      </w:r>
      <w:proofErr w:type="spellEnd"/>
      <w:r w:rsidRPr="00637C10">
        <w:rPr>
          <w:rFonts w:ascii="Tahoma" w:hAnsi="Tahoma" w:cs="Tahoma"/>
          <w:sz w:val="20"/>
          <w:szCs w:val="20"/>
          <w:u w:val="single"/>
        </w:rPr>
        <w:t xml:space="preserve"> </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Ο ΓΑΚ δεν εφαρμόζεται στα καθεστώτα ενισχύσεων που δεν αποκλείουν ρητά την καταβολή μεμονωμένων ενισχύσεων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 και ασυμβίβαστη και δεν εφαρμόζεται στις </w:t>
      </w:r>
      <w:proofErr w:type="spellStart"/>
      <w:r w:rsidRPr="00637C10">
        <w:rPr>
          <w:rFonts w:ascii="Tahoma" w:hAnsi="Tahoma" w:cs="Tahoma"/>
          <w:sz w:val="20"/>
          <w:szCs w:val="20"/>
        </w:rPr>
        <w:t>ad</w:t>
      </w:r>
      <w:proofErr w:type="spellEnd"/>
      <w:r w:rsidRPr="00637C10">
        <w:rPr>
          <w:rFonts w:ascii="Tahoma" w:hAnsi="Tahoma" w:cs="Tahoma"/>
          <w:sz w:val="20"/>
          <w:szCs w:val="20"/>
        </w:rPr>
        <w:t xml:space="preserve"> </w:t>
      </w:r>
      <w:proofErr w:type="spellStart"/>
      <w:r w:rsidRPr="00637C10">
        <w:rPr>
          <w:rFonts w:ascii="Tahoma" w:hAnsi="Tahoma" w:cs="Tahoma"/>
          <w:sz w:val="20"/>
          <w:szCs w:val="20"/>
        </w:rPr>
        <w:t>hoc</w:t>
      </w:r>
      <w:proofErr w:type="spellEnd"/>
      <w:r w:rsidRPr="00637C10">
        <w:rPr>
          <w:rFonts w:ascii="Tahoma" w:hAnsi="Tahoma" w:cs="Tahoma"/>
          <w:sz w:val="20"/>
          <w:szCs w:val="20"/>
        </w:rPr>
        <w:t xml:space="preserve"> ενισχύσεις υπέρ μιας τέτοιας επιχείρησης. </w:t>
      </w:r>
    </w:p>
    <w:p w:rsidR="00AF64AE" w:rsidRPr="00637C10" w:rsidRDefault="00AF64AE" w:rsidP="00637C10">
      <w:pPr>
        <w:numPr>
          <w:ilvl w:val="0"/>
          <w:numId w:val="2"/>
        </w:numPr>
        <w:spacing w:after="120" w:line="240" w:lineRule="auto"/>
        <w:jc w:val="both"/>
        <w:rPr>
          <w:rFonts w:ascii="Tahoma" w:hAnsi="Tahoma" w:cs="Tahoma"/>
          <w:sz w:val="20"/>
          <w:szCs w:val="20"/>
        </w:rPr>
      </w:pPr>
      <w:r w:rsidRPr="00637C10">
        <w:rPr>
          <w:rFonts w:ascii="Tahoma" w:hAnsi="Tahoma" w:cs="Tahoma"/>
          <w:sz w:val="20"/>
          <w:szCs w:val="20"/>
          <w:u w:val="single"/>
        </w:rPr>
        <w:t>Αποκλεισμός των προβληματικών επιχειρήσεων</w:t>
      </w:r>
      <w:r w:rsidRPr="00637C10">
        <w:rPr>
          <w:rFonts w:ascii="Tahoma" w:hAnsi="Tahoma" w:cs="Tahoma"/>
          <w:sz w:val="20"/>
          <w:szCs w:val="20"/>
        </w:rPr>
        <w:t xml:space="preserve"> </w:t>
      </w:r>
    </w:p>
    <w:p w:rsidR="00D17738"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 ΓΑΚ δεν εφαρμόζεται στις ενισχύσεις για προβληματικές επιχειρήσεις.</w:t>
      </w:r>
      <w:r w:rsidR="006C4880" w:rsidRPr="00637C10">
        <w:rPr>
          <w:rFonts w:ascii="Tahoma" w:hAnsi="Tahoma" w:cs="Tahoma"/>
          <w:sz w:val="20"/>
          <w:szCs w:val="20"/>
        </w:rPr>
        <w:t xml:space="preserve"> </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 xml:space="preserve">Αποκλεισμός των μέτρων ενισχύσεων που παραβιάζουν το δίκαιο της Ένωσης </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 ΓΑΚ δεν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β) την υποχρέωση του δικαιούχου να χρησιμοποιεί προϊόντα εγχώριας παραγωγής ή εθνικές υπηρεσίες·</w:t>
      </w:r>
    </w:p>
    <w:p w:rsidR="00AF64AE" w:rsidRPr="00637C10" w:rsidRDefault="00AF64AE" w:rsidP="00637C10">
      <w:pPr>
        <w:spacing w:after="120" w:line="240" w:lineRule="auto"/>
        <w:ind w:left="357"/>
        <w:jc w:val="both"/>
        <w:rPr>
          <w:rFonts w:ascii="Tahoma" w:hAnsi="Tahoma" w:cs="Tahoma"/>
          <w:sz w:val="20"/>
          <w:szCs w:val="20"/>
        </w:rPr>
      </w:pPr>
      <w:r w:rsidRPr="00637C10">
        <w:rPr>
          <w:rFonts w:ascii="Tahoma" w:hAnsi="Tahoma" w:cs="Tahoma"/>
          <w:sz w:val="20"/>
          <w:szCs w:val="20"/>
        </w:rPr>
        <w:t>γ) τον περιορισμό της δυνατότητας των δικαιούχων να κάνουν χρήση των αποτελεσμάτων της έρευνας, ανάπτυξης και καινοτομίας σε άλλα κράτη μέλη.</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Όρια κοινοποίησης μεμονωμένων ενισχύσεων</w:t>
      </w:r>
    </w:p>
    <w:p w:rsidR="008A556D" w:rsidRDefault="009258AC">
      <w:pPr>
        <w:spacing w:after="120" w:line="240" w:lineRule="auto"/>
        <w:ind w:left="360"/>
        <w:jc w:val="both"/>
        <w:rPr>
          <w:rFonts w:ascii="Tahoma" w:hAnsi="Tahoma" w:cs="Tahoma"/>
          <w:sz w:val="20"/>
          <w:szCs w:val="20"/>
        </w:rPr>
      </w:pPr>
      <w:r w:rsidRPr="00637C10">
        <w:rPr>
          <w:rFonts w:ascii="Tahoma" w:hAnsi="Tahoma" w:cs="Tahoma"/>
          <w:sz w:val="20"/>
          <w:szCs w:val="20"/>
        </w:rPr>
        <w:t xml:space="preserve">1. </w:t>
      </w:r>
      <w:r w:rsidR="00AF64AE" w:rsidRPr="00637C10">
        <w:rPr>
          <w:rFonts w:ascii="Tahoma" w:hAnsi="Tahoma" w:cs="Tahoma"/>
          <w:sz w:val="20"/>
          <w:szCs w:val="20"/>
        </w:rPr>
        <w:t>Ο ΓΑΚ δεν εφαρμόζεται στις ενισχύσεις που υπερβαίνουν</w:t>
      </w:r>
      <w:r w:rsidR="008A556D">
        <w:rPr>
          <w:rFonts w:ascii="Tahoma" w:hAnsi="Tahoma" w:cs="Tahoma"/>
          <w:sz w:val="20"/>
          <w:szCs w:val="20"/>
        </w:rPr>
        <w:t>:</w:t>
      </w:r>
    </w:p>
    <w:p w:rsidR="00DB5B7B" w:rsidRDefault="008A556D" w:rsidP="002F5995">
      <w:pPr>
        <w:spacing w:after="120" w:line="240" w:lineRule="auto"/>
        <w:ind w:left="360"/>
        <w:jc w:val="both"/>
        <w:rPr>
          <w:rFonts w:ascii="Tahoma" w:hAnsi="Tahoma" w:cs="Tahoma"/>
          <w:sz w:val="20"/>
          <w:szCs w:val="20"/>
        </w:rPr>
      </w:pPr>
      <w:r>
        <w:rPr>
          <w:rFonts w:ascii="Tahoma" w:hAnsi="Tahoma" w:cs="Tahoma"/>
          <w:sz w:val="20"/>
          <w:szCs w:val="20"/>
        </w:rPr>
        <w:t xml:space="preserve">α) </w:t>
      </w:r>
      <w:r w:rsidR="00DB5B7B">
        <w:rPr>
          <w:rFonts w:ascii="Tahoma" w:hAnsi="Tahoma" w:cs="Tahoma"/>
          <w:sz w:val="20"/>
          <w:szCs w:val="20"/>
        </w:rPr>
        <w:t xml:space="preserve">για περιφερειακές επενδυτικές ενισχύσεις: </w:t>
      </w:r>
      <w:r w:rsidR="00DB5B7B" w:rsidRPr="00DB5B7B">
        <w:rPr>
          <w:rFonts w:ascii="Tahoma" w:hAnsi="Tahoma" w:cs="Tahoma"/>
          <w:sz w:val="20"/>
          <w:szCs w:val="20"/>
        </w:rPr>
        <w:t>το «προσαρμοσμένο ποσό της ενίσχυσης», που υπολογίζεται σύμφωνα με τον μηχανισμό που διευκρινίζεται στο άρθρο 2 σημείο 20</w:t>
      </w:r>
      <w:r w:rsidR="00DB5B7B">
        <w:rPr>
          <w:rFonts w:ascii="Tahoma" w:hAnsi="Tahoma" w:cs="Tahoma"/>
          <w:sz w:val="20"/>
          <w:szCs w:val="20"/>
        </w:rPr>
        <w:t xml:space="preserve"> ΓΑΚ</w:t>
      </w:r>
      <w:r w:rsidR="00DB5B7B" w:rsidRPr="00DB5B7B">
        <w:rPr>
          <w:rFonts w:ascii="Tahoma" w:hAnsi="Tahoma" w:cs="Tahoma"/>
          <w:sz w:val="20"/>
          <w:szCs w:val="20"/>
        </w:rPr>
        <w:t>, προκειμένου για επένδυση με επιλέξιμες δαπάνες ύψους 100 εκατ. ευρώ·</w:t>
      </w:r>
    </w:p>
    <w:p w:rsidR="00DB5B7B" w:rsidRDefault="00DB5B7B" w:rsidP="002F5995">
      <w:pPr>
        <w:spacing w:after="120" w:line="240" w:lineRule="auto"/>
        <w:ind w:left="360"/>
        <w:jc w:val="both"/>
        <w:rPr>
          <w:rFonts w:ascii="Tahoma" w:hAnsi="Tahoma" w:cs="Tahoma"/>
          <w:sz w:val="20"/>
          <w:szCs w:val="20"/>
        </w:rPr>
      </w:pPr>
      <w:r>
        <w:rPr>
          <w:rFonts w:ascii="Tahoma" w:hAnsi="Tahoma" w:cs="Tahoma"/>
          <w:sz w:val="20"/>
          <w:szCs w:val="20"/>
        </w:rPr>
        <w:t>β) Για π</w:t>
      </w:r>
      <w:r w:rsidRPr="00DB5B7B">
        <w:rPr>
          <w:rFonts w:ascii="Tahoma" w:hAnsi="Tahoma" w:cs="Tahoma"/>
          <w:sz w:val="20"/>
          <w:szCs w:val="20"/>
        </w:rPr>
        <w:t>εριφερειακές ενισχύσεις αστικής ανάπτυξης: τα 20 εκατ. ευρώ, όπως ορίζεται στο άρθρο 16 παράγραφος 3</w:t>
      </w:r>
      <w:r>
        <w:rPr>
          <w:rFonts w:ascii="Tahoma" w:hAnsi="Tahoma" w:cs="Tahoma"/>
          <w:sz w:val="20"/>
          <w:szCs w:val="20"/>
        </w:rPr>
        <w:t xml:space="preserve"> ΓΑΚ</w:t>
      </w:r>
      <w:r w:rsidRPr="00DB5B7B">
        <w:rPr>
          <w:rFonts w:ascii="Tahoma" w:hAnsi="Tahoma" w:cs="Tahoma"/>
          <w:sz w:val="20"/>
          <w:szCs w:val="20"/>
        </w:rPr>
        <w:t>.</w:t>
      </w:r>
    </w:p>
    <w:p w:rsidR="008A556D" w:rsidRDefault="00DB5B7B" w:rsidP="002F5995">
      <w:pPr>
        <w:spacing w:after="120" w:line="240" w:lineRule="auto"/>
        <w:ind w:left="360"/>
        <w:jc w:val="both"/>
        <w:rPr>
          <w:rFonts w:ascii="Tahoma" w:hAnsi="Tahoma" w:cs="Tahoma"/>
          <w:sz w:val="20"/>
          <w:szCs w:val="20"/>
        </w:rPr>
      </w:pPr>
      <w:r>
        <w:rPr>
          <w:rFonts w:ascii="Tahoma" w:hAnsi="Tahoma" w:cs="Tahoma"/>
          <w:sz w:val="20"/>
          <w:szCs w:val="20"/>
        </w:rPr>
        <w:t xml:space="preserve">γ) </w:t>
      </w:r>
      <w:r w:rsidR="002F5995" w:rsidRPr="002F5995">
        <w:rPr>
          <w:rFonts w:ascii="Tahoma" w:hAnsi="Tahoma" w:cs="Tahoma"/>
          <w:sz w:val="20"/>
          <w:szCs w:val="20"/>
        </w:rPr>
        <w:t>για τις επενδυτικές ενισχύσεις για τον πολιτισμό και τη διατήρηση της κληρονομιάς: 100 εκατ. ευρώ ανά έργο· ενισχύσεις</w:t>
      </w:r>
      <w:r w:rsidR="002F5995">
        <w:rPr>
          <w:rFonts w:ascii="Tahoma" w:hAnsi="Tahoma" w:cs="Tahoma"/>
          <w:sz w:val="20"/>
          <w:szCs w:val="20"/>
        </w:rPr>
        <w:t xml:space="preserve"> </w:t>
      </w:r>
      <w:r w:rsidR="002F5995" w:rsidRPr="002F5995">
        <w:rPr>
          <w:rFonts w:ascii="Tahoma" w:hAnsi="Tahoma" w:cs="Tahoma"/>
          <w:sz w:val="20"/>
          <w:szCs w:val="20"/>
        </w:rPr>
        <w:t>λειτουργίας για τον πολιτισμό και τη διατήρηση της κληρονομιάς: 50 εκατ. ευρώ ανά επιχείρηση ετησίως·</w:t>
      </w:r>
    </w:p>
    <w:p w:rsidR="002F5995" w:rsidRDefault="00DB5B7B" w:rsidP="002F5995">
      <w:pPr>
        <w:spacing w:after="120" w:line="240" w:lineRule="auto"/>
        <w:ind w:left="360"/>
        <w:jc w:val="both"/>
        <w:rPr>
          <w:rFonts w:ascii="Tahoma" w:hAnsi="Tahoma" w:cs="Tahoma"/>
          <w:sz w:val="20"/>
          <w:szCs w:val="20"/>
        </w:rPr>
      </w:pPr>
      <w:r>
        <w:rPr>
          <w:rFonts w:ascii="Tahoma" w:hAnsi="Tahoma" w:cs="Tahoma"/>
          <w:sz w:val="20"/>
          <w:szCs w:val="20"/>
        </w:rPr>
        <w:t>δ</w:t>
      </w:r>
      <w:r w:rsidR="002F5995">
        <w:rPr>
          <w:rFonts w:ascii="Tahoma" w:hAnsi="Tahoma" w:cs="Tahoma"/>
          <w:sz w:val="20"/>
          <w:szCs w:val="20"/>
        </w:rPr>
        <w:t xml:space="preserve">) </w:t>
      </w:r>
      <w:r w:rsidR="002F5995" w:rsidRPr="002F5995">
        <w:rPr>
          <w:rFonts w:ascii="Tahoma" w:hAnsi="Tahoma" w:cs="Tahoma"/>
          <w:sz w:val="20"/>
          <w:szCs w:val="20"/>
        </w:rPr>
        <w:t xml:space="preserve">για τις επενδυτικές ενισχύσεις για αθλητικές και </w:t>
      </w:r>
      <w:proofErr w:type="spellStart"/>
      <w:r w:rsidR="002F5995" w:rsidRPr="002F5995">
        <w:rPr>
          <w:rFonts w:ascii="Tahoma" w:hAnsi="Tahoma" w:cs="Tahoma"/>
          <w:sz w:val="20"/>
          <w:szCs w:val="20"/>
        </w:rPr>
        <w:t>πολυλειτουργικές</w:t>
      </w:r>
      <w:proofErr w:type="spellEnd"/>
      <w:r w:rsidR="002F5995" w:rsidRPr="002F5995">
        <w:rPr>
          <w:rFonts w:ascii="Tahoma" w:hAnsi="Tahoma" w:cs="Tahoma"/>
          <w:sz w:val="20"/>
          <w:szCs w:val="20"/>
        </w:rPr>
        <w:t xml:space="preserve"> υποδομές: 15 εκατ. ευρώ ή το συνολικό κόστος που</w:t>
      </w:r>
      <w:r w:rsidR="002F5995">
        <w:rPr>
          <w:rFonts w:ascii="Tahoma" w:hAnsi="Tahoma" w:cs="Tahoma"/>
          <w:sz w:val="20"/>
          <w:szCs w:val="20"/>
        </w:rPr>
        <w:t xml:space="preserve"> </w:t>
      </w:r>
      <w:r w:rsidR="002F5995" w:rsidRPr="002F5995">
        <w:rPr>
          <w:rFonts w:ascii="Tahoma" w:hAnsi="Tahoma" w:cs="Tahoma"/>
          <w:sz w:val="20"/>
          <w:szCs w:val="20"/>
        </w:rPr>
        <w:t>υπερβαίνει τα 50 εκατ. ευρώ ανά έργο· ενισχύσεις λειτουργίας για αθλητικές υποδομές: 2 εκατ. ευρώ ανά υποδομή</w:t>
      </w:r>
      <w:r w:rsidR="002F5995">
        <w:rPr>
          <w:rFonts w:ascii="Tahoma" w:hAnsi="Tahoma" w:cs="Tahoma"/>
          <w:sz w:val="20"/>
          <w:szCs w:val="20"/>
        </w:rPr>
        <w:t xml:space="preserve"> </w:t>
      </w:r>
      <w:r w:rsidR="002F5995" w:rsidRPr="002F5995">
        <w:rPr>
          <w:rFonts w:ascii="Tahoma" w:hAnsi="Tahoma" w:cs="Tahoma"/>
          <w:sz w:val="20"/>
          <w:szCs w:val="20"/>
        </w:rPr>
        <w:t>ετησίως· και</w:t>
      </w:r>
    </w:p>
    <w:p w:rsidR="009C5AB6" w:rsidRPr="00637C10" w:rsidRDefault="002F5995" w:rsidP="002F5995">
      <w:pPr>
        <w:spacing w:after="120" w:line="240" w:lineRule="auto"/>
        <w:ind w:left="360"/>
        <w:jc w:val="both"/>
        <w:rPr>
          <w:rFonts w:ascii="Tahoma" w:hAnsi="Tahoma" w:cs="Tahoma"/>
          <w:sz w:val="20"/>
          <w:szCs w:val="20"/>
        </w:rPr>
      </w:pPr>
      <w:r w:rsidRPr="002F5995">
        <w:rPr>
          <w:rFonts w:ascii="Tahoma" w:hAnsi="Tahoma" w:cs="Tahoma"/>
          <w:sz w:val="20"/>
          <w:szCs w:val="20"/>
        </w:rPr>
        <w:t>για τις επενδυτικές ενισχύσεις για τοπικές υποδομές: 10 εκατ. ευρώ ή το συνολικό κόστος που υπερβαίνει τα 20 εκατ.</w:t>
      </w:r>
      <w:r>
        <w:rPr>
          <w:rFonts w:ascii="Tahoma" w:hAnsi="Tahoma" w:cs="Tahoma"/>
          <w:sz w:val="20"/>
          <w:szCs w:val="20"/>
        </w:rPr>
        <w:t xml:space="preserve"> </w:t>
      </w:r>
      <w:r w:rsidRPr="002F5995">
        <w:rPr>
          <w:rFonts w:ascii="Tahoma" w:hAnsi="Tahoma" w:cs="Tahoma"/>
          <w:sz w:val="20"/>
          <w:szCs w:val="20"/>
        </w:rPr>
        <w:t>ευρώ για την ίδια υποδομή</w:t>
      </w:r>
      <w:r w:rsidR="00D21A90" w:rsidRPr="00637C10">
        <w:rPr>
          <w:rFonts w:ascii="Tahoma" w:hAnsi="Tahoma" w:cs="Tahoma"/>
          <w:sz w:val="20"/>
          <w:szCs w:val="20"/>
        </w:rPr>
        <w:t>.</w:t>
      </w:r>
    </w:p>
    <w:p w:rsidR="00AF64AE" w:rsidRDefault="009258AC"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2. </w:t>
      </w:r>
      <w:r w:rsidR="00AF64AE" w:rsidRPr="00637C10">
        <w:rPr>
          <w:rFonts w:ascii="Tahoma" w:hAnsi="Tahoma" w:cs="Tahoma"/>
          <w:sz w:val="20"/>
          <w:szCs w:val="20"/>
        </w:rPr>
        <w:t>Τα όρια δεν επιτρέπεται να καταστρατηγούνται με τον τεχνητό διαχωρισμό των καθεστώτων ενισχύσεων ή των έργων ενίσχυσης.</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Χαρακτήρας κινήτρου</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Οι ενισχύσεις μπορούν να τύχουν απαλλαγής μόνον εάν έχουν χαρακτήρα κινήτρου</w:t>
      </w:r>
      <w:r w:rsidR="006326AC" w:rsidRPr="00637C10">
        <w:rPr>
          <w:rFonts w:ascii="Tahoma" w:hAnsi="Tahoma" w:cs="Tahoma"/>
          <w:sz w:val="20"/>
          <w:szCs w:val="20"/>
        </w:rPr>
        <w:t>, ως ακολούθως</w:t>
      </w:r>
      <w:r w:rsidRPr="00637C10">
        <w:rPr>
          <w:rFonts w:ascii="Tahoma" w:hAnsi="Tahoma" w:cs="Tahoma"/>
          <w:sz w:val="20"/>
          <w:szCs w:val="20"/>
        </w:rPr>
        <w:t>:</w:t>
      </w:r>
    </w:p>
    <w:p w:rsidR="00AF64AE" w:rsidRPr="00637C10" w:rsidRDefault="006326AC" w:rsidP="00637C10">
      <w:pPr>
        <w:spacing w:after="120" w:line="240" w:lineRule="auto"/>
        <w:ind w:left="360"/>
        <w:jc w:val="both"/>
        <w:rPr>
          <w:rFonts w:ascii="Tahoma" w:hAnsi="Tahoma" w:cs="Tahoma"/>
          <w:sz w:val="20"/>
          <w:szCs w:val="20"/>
        </w:rPr>
      </w:pPr>
      <w:r w:rsidRPr="00637C10">
        <w:rPr>
          <w:rFonts w:ascii="Tahoma" w:hAnsi="Tahoma" w:cs="Tahoma"/>
          <w:sz w:val="20"/>
          <w:szCs w:val="20"/>
        </w:rPr>
        <w:lastRenderedPageBreak/>
        <w:t xml:space="preserve">α) </w:t>
      </w:r>
      <w:r w:rsidR="00AF64AE" w:rsidRPr="00637C10">
        <w:rPr>
          <w:rFonts w:ascii="Tahoma" w:hAnsi="Tahoma" w:cs="Tahoma"/>
          <w:sz w:val="20"/>
          <w:szCs w:val="20"/>
        </w:rPr>
        <w:t>Ο δικαιούχος έχει υποβάλει αίτηση ενίσχυσης στο κράτος μέλος, πριν από την έναρξη του έργου ή των εργασιών, που περιλαμβάνει τουλάχιστον τα ακόλουθα στοιχεία:</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την ονομασία και το μέγεθος της επιχείρησης·</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περιγραφή του έργου, συμπεριλαμβανομένων των ημερομηνιών έναρξης και λήξης·</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τον τόπο εκτέλεσης του έργου·</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κατάλογο των δαπανών του έργου·</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p>
    <w:p w:rsidR="00AF64AE" w:rsidRPr="00637C10" w:rsidRDefault="006326AC"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β) </w:t>
      </w:r>
      <w:proofErr w:type="spellStart"/>
      <w:r w:rsidR="00AF64AE" w:rsidRPr="00637C10">
        <w:rPr>
          <w:rFonts w:ascii="Tahoma" w:hAnsi="Tahoma" w:cs="Tahoma"/>
          <w:sz w:val="20"/>
          <w:szCs w:val="20"/>
        </w:rPr>
        <w:t>Ad</w:t>
      </w:r>
      <w:proofErr w:type="spellEnd"/>
      <w:r w:rsidR="00AF64AE" w:rsidRPr="00637C10">
        <w:rPr>
          <w:rFonts w:ascii="Tahoma" w:hAnsi="Tahoma" w:cs="Tahoma"/>
          <w:sz w:val="20"/>
          <w:szCs w:val="20"/>
        </w:rPr>
        <w:t xml:space="preserve"> </w:t>
      </w:r>
      <w:proofErr w:type="spellStart"/>
      <w:r w:rsidR="00AF64AE" w:rsidRPr="00637C10">
        <w:rPr>
          <w:rFonts w:ascii="Tahoma" w:hAnsi="Tahoma" w:cs="Tahoma"/>
          <w:sz w:val="20"/>
          <w:szCs w:val="20"/>
        </w:rPr>
        <w:t>hoc</w:t>
      </w:r>
      <w:proofErr w:type="spellEnd"/>
      <w:r w:rsidR="00AF64AE" w:rsidRPr="00637C10">
        <w:rPr>
          <w:rFonts w:ascii="Tahoma" w:hAnsi="Tahoma" w:cs="Tahoma"/>
          <w:sz w:val="20"/>
          <w:szCs w:val="20"/>
        </w:rPr>
        <w:t xml:space="preserve"> ενισ</w:t>
      </w:r>
      <w:r w:rsidRPr="00637C10">
        <w:rPr>
          <w:rFonts w:ascii="Tahoma" w:hAnsi="Tahoma" w:cs="Tahoma"/>
          <w:sz w:val="20"/>
          <w:szCs w:val="20"/>
        </w:rPr>
        <w:t xml:space="preserve">χύσεις σε μεγάλες επιχειρήσεις, </w:t>
      </w:r>
      <w:r w:rsidR="00AF64AE" w:rsidRPr="00637C10">
        <w:rPr>
          <w:rFonts w:ascii="Tahoma" w:hAnsi="Tahoma" w:cs="Tahoma"/>
          <w:sz w:val="20"/>
          <w:szCs w:val="20"/>
        </w:rPr>
        <w:t>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ουσιώδης αύξηση του αντικειμένου του έργου/της δραστηριότητας ως αποτέλεσμα της ενίσχυσης· ή</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ουσιώδης αύξηση του συνολικού ποσού που δαπανά ο δικαιούχος για το έργο/τη δραστηριότητα ως αποτέλεσμα της ενίσχυσης· ή</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ουσιώδης αύξηση της ταχύτητας ολοκλήρωσης του συγκεκριμένου έργου/δραστηριότητας.</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Επιλέξιμες δαπάνες</w:t>
      </w:r>
    </w:p>
    <w:p w:rsidR="00297463"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Για τον υπολογισμό της έντασης της ενίσχυσης λαμβάνονται υπόψη αριθμητικά στοιχεία πριν από την αφαίρεση φόρων ή άλλων επιβαρύνσεων.</w:t>
      </w:r>
      <w:r w:rsidR="00297463" w:rsidRPr="00637C10">
        <w:rPr>
          <w:rFonts w:ascii="Tahoma" w:hAnsi="Tahoma" w:cs="Tahoma"/>
          <w:sz w:val="20"/>
          <w:szCs w:val="20"/>
        </w:rPr>
        <w:t xml:space="preserve"> </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 xml:space="preserve">Οι επιλέξιμες δαπάνες τεκμηριώνονται με σαφή, συγκεκριμένα και </w:t>
      </w:r>
      <w:proofErr w:type="spellStart"/>
      <w:r w:rsidRPr="00637C10">
        <w:rPr>
          <w:rFonts w:ascii="Tahoma" w:hAnsi="Tahoma" w:cs="Tahoma"/>
          <w:sz w:val="20"/>
          <w:szCs w:val="20"/>
        </w:rPr>
        <w:t>επικαιροποιημένα</w:t>
      </w:r>
      <w:proofErr w:type="spellEnd"/>
      <w:r w:rsidRPr="00637C10">
        <w:rPr>
          <w:rFonts w:ascii="Tahoma" w:hAnsi="Tahoma" w:cs="Tahoma"/>
          <w:sz w:val="20"/>
          <w:szCs w:val="20"/>
        </w:rPr>
        <w:t xml:space="preserve"> έγγραφα.</w:t>
      </w: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t>Σώρευση</w:t>
      </w:r>
    </w:p>
    <w:p w:rsidR="00C77FBA"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 xml:space="preserve">Η </w:t>
      </w:r>
      <w:r w:rsidR="00145D10">
        <w:rPr>
          <w:rFonts w:ascii="Tahoma" w:hAnsi="Tahoma" w:cs="Tahoma"/>
          <w:sz w:val="20"/>
          <w:szCs w:val="20"/>
        </w:rPr>
        <w:t>Δ.Α.</w:t>
      </w:r>
      <w:r w:rsidRPr="00637C10">
        <w:rPr>
          <w:rFonts w:ascii="Tahoma" w:hAnsi="Tahoma" w:cs="Tahoma"/>
          <w:sz w:val="20"/>
          <w:szCs w:val="20"/>
        </w:rPr>
        <w:t xml:space="preserve"> πρέπει να επιβεβαιώνει κάθε φορά ότι τηρούνται τα όρια κοινοποίησης του σημείου 4 ανωτέρω και οι μέγιστες εντάσεις ενίσχυσης του εφαρμοστέου κάθε φορά άρθρου του ειδικού μέρους του ΓΑΚ. </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Για τον σκοπό αυτό:</w:t>
      </w:r>
    </w:p>
    <w:p w:rsidR="00AF64AE" w:rsidRPr="00637C10" w:rsidRDefault="00AF64AE"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Για τα όρια και τις μέγιστες εντάσεις ενίσχυσης λαμβάνεται υπόψη το συνολικό ποσό της ενίσχυσης·</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Ε</w:t>
      </w:r>
      <w:r w:rsidR="00AF64AE" w:rsidRPr="00637C10">
        <w:rPr>
          <w:rFonts w:ascii="Tahoma" w:hAnsi="Tahoma" w:cs="Tahoma"/>
          <w:sz w:val="20"/>
          <w:szCs w:val="20"/>
        </w:rPr>
        <w:t xml:space="preserve">άν </w:t>
      </w:r>
      <w:proofErr w:type="spellStart"/>
      <w:r w:rsidR="00AF64AE" w:rsidRPr="00637C10">
        <w:rPr>
          <w:rFonts w:ascii="Tahoma" w:hAnsi="Tahoma" w:cs="Tahoma"/>
          <w:sz w:val="20"/>
          <w:szCs w:val="20"/>
        </w:rPr>
        <w:t>ενωσιακή</w:t>
      </w:r>
      <w:proofErr w:type="spellEnd"/>
      <w:r w:rsidR="00AF64AE" w:rsidRPr="00637C10">
        <w:rPr>
          <w:rFonts w:ascii="Tahoma" w:hAnsi="Tahoma" w:cs="Tahoma"/>
          <w:sz w:val="20"/>
          <w:szCs w:val="20"/>
        </w:rPr>
        <w:t xml:space="preserve"> χρηματοδότηση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w:t>
      </w:r>
      <w:proofErr w:type="spellStart"/>
      <w:r w:rsidR="00AF64AE" w:rsidRPr="00637C10">
        <w:rPr>
          <w:rFonts w:ascii="Tahoma" w:hAnsi="Tahoma" w:cs="Tahoma"/>
          <w:sz w:val="20"/>
          <w:szCs w:val="20"/>
        </w:rPr>
        <w:t>ενωσιακής</w:t>
      </w:r>
      <w:proofErr w:type="spellEnd"/>
      <w:r w:rsidR="00AF64AE" w:rsidRPr="00637C10">
        <w:rPr>
          <w:rFonts w:ascii="Tahoma" w:hAnsi="Tahoma" w:cs="Tahoma"/>
          <w:sz w:val="20"/>
          <w:szCs w:val="20"/>
        </w:rPr>
        <w:t xml:space="preserve"> νομοθεσίας·</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w:t>
      </w:r>
      <w:r w:rsidR="00AF64AE" w:rsidRPr="00637C10">
        <w:rPr>
          <w:rFonts w:ascii="Tahoma" w:hAnsi="Tahoma" w:cs="Tahoma"/>
          <w:sz w:val="20"/>
          <w:szCs w:val="20"/>
        </w:rPr>
        <w:t xml:space="preserve">ι απαλλασσόμενες ενισχύσεις μπορούν να σωρευθούν με οποιεσδήποτε άλλες κρατικές ενισχύσεις, εάν πρόκειται για διαφορετικές </w:t>
      </w:r>
      <w:proofErr w:type="spellStart"/>
      <w:r w:rsidR="00AF64AE" w:rsidRPr="00637C10">
        <w:rPr>
          <w:rFonts w:ascii="Tahoma" w:hAnsi="Tahoma" w:cs="Tahoma"/>
          <w:sz w:val="20"/>
          <w:szCs w:val="20"/>
        </w:rPr>
        <w:t>προσδιορίσιμες</w:t>
      </w:r>
      <w:proofErr w:type="spellEnd"/>
      <w:r w:rsidR="00AF64AE" w:rsidRPr="00637C10">
        <w:rPr>
          <w:rFonts w:ascii="Tahoma" w:hAnsi="Tahoma" w:cs="Tahoma"/>
          <w:sz w:val="20"/>
          <w:szCs w:val="20"/>
        </w:rPr>
        <w:t xml:space="preserve"> δαπάνες·</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Δ</w:t>
      </w:r>
      <w:r w:rsidR="00AF64AE" w:rsidRPr="00637C10">
        <w:rPr>
          <w:rFonts w:ascii="Tahoma" w:hAnsi="Tahoma" w:cs="Tahoma"/>
          <w:sz w:val="20"/>
          <w:szCs w:val="20"/>
        </w:rPr>
        <w:t>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p>
    <w:p w:rsidR="00AF64AE" w:rsidRPr="00637C10" w:rsidRDefault="006326AC" w:rsidP="00637C10">
      <w:pPr>
        <w:pStyle w:val="a6"/>
        <w:numPr>
          <w:ilvl w:val="0"/>
          <w:numId w:val="1"/>
        </w:numPr>
        <w:spacing w:after="120" w:line="240" w:lineRule="auto"/>
        <w:contextualSpacing w:val="0"/>
        <w:jc w:val="both"/>
        <w:rPr>
          <w:rFonts w:ascii="Tahoma" w:hAnsi="Tahoma" w:cs="Tahoma"/>
          <w:sz w:val="20"/>
          <w:szCs w:val="20"/>
        </w:rPr>
      </w:pPr>
      <w:r w:rsidRPr="00637C10">
        <w:rPr>
          <w:rFonts w:ascii="Tahoma" w:hAnsi="Tahoma" w:cs="Tahoma"/>
          <w:sz w:val="20"/>
          <w:szCs w:val="20"/>
        </w:rPr>
        <w:t>Ο</w:t>
      </w:r>
      <w:r w:rsidR="00AF64AE" w:rsidRPr="00637C10">
        <w:rPr>
          <w:rFonts w:ascii="Tahoma" w:hAnsi="Tahoma" w:cs="Tahoma"/>
          <w:sz w:val="20"/>
          <w:szCs w:val="20"/>
        </w:rPr>
        <w:t>ι κρατικές ενισχύσεις που τυγχάνουν απαλλαγής δυνάμει του ΓΑΚ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ΓΑΚ.</w:t>
      </w:r>
    </w:p>
    <w:p w:rsidR="00AF64AE" w:rsidRDefault="00AF64AE" w:rsidP="00637C10">
      <w:pPr>
        <w:spacing w:after="120" w:line="240" w:lineRule="auto"/>
        <w:jc w:val="both"/>
        <w:rPr>
          <w:rFonts w:ascii="Tahoma" w:hAnsi="Tahoma" w:cs="Tahoma"/>
          <w:sz w:val="20"/>
          <w:szCs w:val="20"/>
        </w:rPr>
      </w:pPr>
      <w:r w:rsidRPr="00637C10">
        <w:rPr>
          <w:rFonts w:ascii="Tahoma" w:hAnsi="Tahoma" w:cs="Tahoma"/>
          <w:sz w:val="20"/>
          <w:szCs w:val="20"/>
        </w:rPr>
        <w:t>Οι ανωτέρω υποχρεώσεις θα επιβεβαιώνονται κατά την αξιολόγηση των προτάσεων και την καταβολή των ενισχύσεων.</w:t>
      </w:r>
    </w:p>
    <w:p w:rsidR="00DB5B7B" w:rsidRPr="00637C10" w:rsidRDefault="00DB5B7B" w:rsidP="00637C10">
      <w:pPr>
        <w:spacing w:after="120" w:line="240" w:lineRule="auto"/>
        <w:jc w:val="both"/>
        <w:rPr>
          <w:rFonts w:ascii="Tahoma" w:hAnsi="Tahoma" w:cs="Tahoma"/>
          <w:sz w:val="20"/>
          <w:szCs w:val="20"/>
        </w:rPr>
      </w:pPr>
    </w:p>
    <w:p w:rsidR="00AF64AE" w:rsidRPr="00637C10" w:rsidRDefault="00AF64AE" w:rsidP="00637C10">
      <w:pPr>
        <w:numPr>
          <w:ilvl w:val="0"/>
          <w:numId w:val="2"/>
        </w:numPr>
        <w:spacing w:after="120" w:line="240" w:lineRule="auto"/>
        <w:jc w:val="both"/>
        <w:rPr>
          <w:rFonts w:ascii="Tahoma" w:hAnsi="Tahoma" w:cs="Tahoma"/>
          <w:sz w:val="20"/>
          <w:szCs w:val="20"/>
          <w:u w:val="single"/>
        </w:rPr>
      </w:pPr>
      <w:r w:rsidRPr="00637C10">
        <w:rPr>
          <w:rFonts w:ascii="Tahoma" w:hAnsi="Tahoma" w:cs="Tahoma"/>
          <w:sz w:val="20"/>
          <w:szCs w:val="20"/>
          <w:u w:val="single"/>
        </w:rPr>
        <w:lastRenderedPageBreak/>
        <w:t>Δημοσίευση και πληροφορίες - Υποβολή εκθέσεων</w:t>
      </w:r>
    </w:p>
    <w:p w:rsidR="00AF64AE" w:rsidRPr="00637C10" w:rsidRDefault="00AF64AE" w:rsidP="00637C10">
      <w:pPr>
        <w:spacing w:after="120" w:line="240" w:lineRule="auto"/>
        <w:jc w:val="both"/>
        <w:rPr>
          <w:rFonts w:ascii="Tahoma" w:hAnsi="Tahoma" w:cs="Tahoma"/>
          <w:sz w:val="20"/>
          <w:szCs w:val="20"/>
        </w:rPr>
      </w:pPr>
      <w:r w:rsidRPr="00637C10">
        <w:rPr>
          <w:rFonts w:ascii="Tahoma" w:hAnsi="Tahoma" w:cs="Tahoma"/>
          <w:sz w:val="20"/>
          <w:szCs w:val="20"/>
        </w:rPr>
        <w:t xml:space="preserve">Η </w:t>
      </w:r>
      <w:r w:rsidR="00EC0C03" w:rsidRPr="00637C10">
        <w:rPr>
          <w:rFonts w:ascii="Tahoma" w:hAnsi="Tahoma" w:cs="Tahoma"/>
          <w:sz w:val="20"/>
          <w:szCs w:val="20"/>
        </w:rPr>
        <w:t>Δ.Α.</w:t>
      </w:r>
      <w:r w:rsidRPr="00637C10">
        <w:rPr>
          <w:rFonts w:ascii="Tahoma" w:hAnsi="Tahoma" w:cs="Tahoma"/>
          <w:sz w:val="20"/>
          <w:szCs w:val="20"/>
        </w:rPr>
        <w:t xml:space="preserve"> έχει υποχρέωση</w:t>
      </w:r>
      <w:r w:rsidR="00791D55" w:rsidRPr="00637C10">
        <w:rPr>
          <w:rFonts w:ascii="Tahoma" w:hAnsi="Tahoma" w:cs="Tahoma"/>
          <w:sz w:val="20"/>
          <w:szCs w:val="20"/>
        </w:rPr>
        <w:t xml:space="preserve"> δημοσίευσης στο </w:t>
      </w:r>
      <w:r w:rsidRPr="00637C10">
        <w:rPr>
          <w:rFonts w:ascii="Tahoma" w:hAnsi="Tahoma" w:cs="Tahoma"/>
          <w:sz w:val="20"/>
          <w:szCs w:val="20"/>
        </w:rPr>
        <w:t>δικτυακό τόπο για τις κρατικές ενισχύσεις, σε εθνικό ή περιφερειακό επίπεδο, τα εξής:</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α) συνοπτικές πληροφορίες ή σύνδεσμο που παρέχει πρόσβαση σε αυτές·</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β) το πλήρες κείμενο κάθε μέτρου ενίσχυσης ή σύνδεσμο που παρέχει πρόσβαση στο πλήρες κείμενο·</w:t>
      </w:r>
    </w:p>
    <w:p w:rsidR="00AF64AE" w:rsidRPr="00637C10" w:rsidRDefault="00AF64AE" w:rsidP="00637C10">
      <w:pPr>
        <w:spacing w:after="120" w:line="240" w:lineRule="auto"/>
        <w:ind w:left="360"/>
        <w:jc w:val="both"/>
        <w:rPr>
          <w:rFonts w:ascii="Tahoma" w:hAnsi="Tahoma" w:cs="Tahoma"/>
          <w:sz w:val="20"/>
          <w:szCs w:val="20"/>
        </w:rPr>
      </w:pPr>
      <w:r w:rsidRPr="00637C10">
        <w:rPr>
          <w:rFonts w:ascii="Tahoma" w:hAnsi="Tahoma" w:cs="Tahoma"/>
          <w:sz w:val="20"/>
          <w:szCs w:val="20"/>
        </w:rPr>
        <w:t>γ) πληροφορίες για κάθε χορήγηση μεμονωμένης ενίσχυσης που υπερβαίνει τα 500 000 ευρώ.</w:t>
      </w:r>
    </w:p>
    <w:p w:rsidR="003549ED" w:rsidRDefault="00AF64AE" w:rsidP="00637C10">
      <w:pPr>
        <w:spacing w:after="120" w:line="240" w:lineRule="auto"/>
        <w:jc w:val="both"/>
        <w:rPr>
          <w:rFonts w:ascii="Tahoma" w:hAnsi="Tahoma" w:cs="Tahoma"/>
          <w:sz w:val="20"/>
          <w:szCs w:val="20"/>
        </w:rPr>
      </w:pPr>
      <w:r w:rsidRPr="00637C10">
        <w:rPr>
          <w:rFonts w:ascii="Tahoma" w:hAnsi="Tahoma" w:cs="Tahoma"/>
          <w:sz w:val="20"/>
          <w:szCs w:val="20"/>
        </w:rPr>
        <w:t>Ο δικαιούχος έχει υποχρέωση να αποδεχθεί τη δημοσίευ</w:t>
      </w:r>
      <w:r w:rsidR="00C06212" w:rsidRPr="00637C10">
        <w:rPr>
          <w:rFonts w:ascii="Tahoma" w:hAnsi="Tahoma" w:cs="Tahoma"/>
          <w:sz w:val="20"/>
          <w:szCs w:val="20"/>
        </w:rPr>
        <w:t xml:space="preserve">ση των στοιχείων του σημείου γ) </w:t>
      </w:r>
    </w:p>
    <w:p w:rsidR="00147C71" w:rsidRDefault="00147C71" w:rsidP="00637C10">
      <w:pPr>
        <w:pStyle w:val="BodyText21"/>
        <w:spacing w:after="120" w:line="240" w:lineRule="auto"/>
        <w:ind w:right="26"/>
        <w:outlineLvl w:val="0"/>
        <w:rPr>
          <w:rFonts w:ascii="Tahoma" w:hAnsi="Tahoma" w:cs="Tahoma"/>
          <w:b/>
          <w:sz w:val="20"/>
        </w:rPr>
      </w:pPr>
    </w:p>
    <w:p w:rsidR="00313779" w:rsidRPr="00637C10" w:rsidRDefault="00313779" w:rsidP="00637C10">
      <w:pPr>
        <w:pStyle w:val="BodyText21"/>
        <w:spacing w:after="120" w:line="240" w:lineRule="auto"/>
        <w:ind w:right="26"/>
        <w:outlineLvl w:val="0"/>
        <w:rPr>
          <w:rFonts w:ascii="Tahoma" w:hAnsi="Tahoma" w:cs="Tahoma"/>
          <w:b/>
          <w:sz w:val="20"/>
        </w:rPr>
      </w:pPr>
      <w:r w:rsidRPr="00637C10">
        <w:rPr>
          <w:rFonts w:ascii="Tahoma" w:hAnsi="Tahoma" w:cs="Tahoma"/>
          <w:b/>
          <w:sz w:val="20"/>
        </w:rPr>
        <w:t>Β. Υποχρεώσεις Ειδικού μέρους του ΓΑΚ</w:t>
      </w:r>
    </w:p>
    <w:p w:rsidR="00AF4421" w:rsidRDefault="00CA39AE" w:rsidP="00637C10">
      <w:pPr>
        <w:spacing w:after="120" w:line="240" w:lineRule="auto"/>
        <w:jc w:val="both"/>
        <w:rPr>
          <w:rFonts w:ascii="Tahoma" w:hAnsi="Tahoma" w:cs="Tahoma"/>
          <w:sz w:val="20"/>
          <w:szCs w:val="20"/>
        </w:rPr>
      </w:pPr>
      <w:r w:rsidRPr="00637C10">
        <w:rPr>
          <w:rFonts w:ascii="Tahoma" w:hAnsi="Tahoma" w:cs="Tahoma"/>
          <w:sz w:val="20"/>
          <w:szCs w:val="20"/>
        </w:rPr>
        <w:t xml:space="preserve">Πρέπει να τηρούνται </w:t>
      </w:r>
      <w:r w:rsidR="00C06212" w:rsidRPr="00637C10">
        <w:rPr>
          <w:rFonts w:ascii="Tahoma" w:hAnsi="Tahoma" w:cs="Tahoma"/>
          <w:sz w:val="20"/>
          <w:szCs w:val="20"/>
        </w:rPr>
        <w:t>ο</w:t>
      </w:r>
      <w:r w:rsidR="00C77FBA" w:rsidRPr="00637C10">
        <w:rPr>
          <w:rFonts w:ascii="Tahoma" w:hAnsi="Tahoma" w:cs="Tahoma"/>
          <w:sz w:val="20"/>
          <w:szCs w:val="20"/>
        </w:rPr>
        <w:t>ι προϋποθέσεις συμβατότητας που πηγάζουν από τις διατάξεις τ</w:t>
      </w:r>
      <w:r w:rsidR="005D51F7">
        <w:rPr>
          <w:rFonts w:ascii="Tahoma" w:hAnsi="Tahoma" w:cs="Tahoma"/>
          <w:sz w:val="20"/>
          <w:szCs w:val="20"/>
        </w:rPr>
        <w:t>ου άρθρου</w:t>
      </w:r>
      <w:r w:rsidR="00AF4421" w:rsidRPr="00637C10">
        <w:rPr>
          <w:rFonts w:ascii="Tahoma" w:hAnsi="Tahoma" w:cs="Tahoma"/>
          <w:sz w:val="20"/>
          <w:szCs w:val="20"/>
        </w:rPr>
        <w:t xml:space="preserve"> </w:t>
      </w:r>
      <w:r w:rsidR="002F5995">
        <w:rPr>
          <w:rFonts w:ascii="Tahoma" w:hAnsi="Tahoma" w:cs="Tahoma"/>
          <w:sz w:val="20"/>
          <w:szCs w:val="20"/>
        </w:rPr>
        <w:t>53</w:t>
      </w:r>
      <w:r w:rsidR="00AF4421" w:rsidRPr="00637C10">
        <w:rPr>
          <w:rFonts w:ascii="Tahoma" w:hAnsi="Tahoma" w:cs="Tahoma"/>
          <w:sz w:val="20"/>
          <w:szCs w:val="20"/>
        </w:rPr>
        <w:t xml:space="preserve"> </w:t>
      </w:r>
      <w:r w:rsidR="00C77FBA" w:rsidRPr="00637C10">
        <w:rPr>
          <w:rFonts w:ascii="Tahoma" w:hAnsi="Tahoma" w:cs="Tahoma"/>
          <w:sz w:val="20"/>
          <w:szCs w:val="20"/>
        </w:rPr>
        <w:t xml:space="preserve">του ειδικού μέρους του </w:t>
      </w:r>
      <w:r w:rsidR="005D51F7">
        <w:rPr>
          <w:rFonts w:ascii="Tahoma" w:hAnsi="Tahoma" w:cs="Tahoma"/>
          <w:sz w:val="20"/>
          <w:szCs w:val="20"/>
        </w:rPr>
        <w:t>ΓΑΚ που πρόκειται να εφαρμοσθεί</w:t>
      </w:r>
      <w:r w:rsidR="00C77FBA" w:rsidRPr="00637C10">
        <w:rPr>
          <w:rFonts w:ascii="Tahoma" w:hAnsi="Tahoma" w:cs="Tahoma"/>
          <w:sz w:val="20"/>
          <w:szCs w:val="20"/>
        </w:rPr>
        <w:t xml:space="preserve"> κατά περίπτωση (</w:t>
      </w:r>
      <w:r w:rsidR="002F5995">
        <w:rPr>
          <w:rFonts w:ascii="Tahoma" w:hAnsi="Tahoma" w:cs="Tahoma"/>
          <w:sz w:val="20"/>
          <w:szCs w:val="20"/>
        </w:rPr>
        <w:t>πράξη</w:t>
      </w:r>
      <w:r w:rsidR="00C77FBA" w:rsidRPr="00637C10">
        <w:rPr>
          <w:rFonts w:ascii="Tahoma" w:hAnsi="Tahoma" w:cs="Tahoma"/>
          <w:sz w:val="20"/>
          <w:szCs w:val="20"/>
        </w:rPr>
        <w:t>)</w:t>
      </w:r>
      <w:r w:rsidR="00147C71">
        <w:rPr>
          <w:rFonts w:ascii="Tahoma" w:hAnsi="Tahoma" w:cs="Tahoma"/>
          <w:sz w:val="20"/>
          <w:szCs w:val="20"/>
        </w:rPr>
        <w:t>.</w:t>
      </w:r>
      <w:r w:rsidR="00C43FE3">
        <w:rPr>
          <w:rFonts w:ascii="Tahoma" w:hAnsi="Tahoma" w:cs="Tahoma"/>
          <w:sz w:val="20"/>
          <w:szCs w:val="20"/>
        </w:rPr>
        <w:t xml:space="preserve"> Πιο συγκεκριμένα: </w:t>
      </w:r>
    </w:p>
    <w:p w:rsidR="00DB5B7B" w:rsidRDefault="00DB5B7B" w:rsidP="00637C10">
      <w:pPr>
        <w:spacing w:after="120" w:line="240" w:lineRule="auto"/>
        <w:jc w:val="both"/>
        <w:rPr>
          <w:rFonts w:ascii="Tahoma" w:hAnsi="Tahoma" w:cs="Tahoma"/>
          <w:sz w:val="20"/>
          <w:szCs w:val="20"/>
        </w:rPr>
      </w:pPr>
    </w:p>
    <w:p w:rsidR="00C77FBA" w:rsidRPr="00637C10" w:rsidRDefault="0054758B" w:rsidP="00637C10">
      <w:pPr>
        <w:spacing w:after="120" w:line="240" w:lineRule="auto"/>
        <w:jc w:val="both"/>
        <w:rPr>
          <w:rFonts w:ascii="Tahoma" w:hAnsi="Tahoma" w:cs="Tahoma"/>
          <w:b/>
          <w:sz w:val="20"/>
          <w:szCs w:val="20"/>
          <w:u w:val="single"/>
        </w:rPr>
      </w:pPr>
      <w:r w:rsidRPr="00637C10">
        <w:rPr>
          <w:rFonts w:ascii="Tahoma" w:hAnsi="Tahoma" w:cs="Tahoma"/>
          <w:b/>
          <w:sz w:val="20"/>
          <w:szCs w:val="20"/>
          <w:u w:val="single"/>
        </w:rPr>
        <w:t xml:space="preserve">Άρθρο </w:t>
      </w:r>
      <w:r w:rsidR="002C707E">
        <w:rPr>
          <w:rFonts w:ascii="Tahoma" w:hAnsi="Tahoma" w:cs="Tahoma"/>
          <w:b/>
          <w:sz w:val="20"/>
          <w:szCs w:val="20"/>
          <w:u w:val="single"/>
        </w:rPr>
        <w:t>53</w:t>
      </w:r>
    </w:p>
    <w:p w:rsidR="00EA32F4" w:rsidRPr="00DB5B7B" w:rsidRDefault="002C707E" w:rsidP="00DB5B7B">
      <w:pPr>
        <w:pStyle w:val="a6"/>
        <w:numPr>
          <w:ilvl w:val="0"/>
          <w:numId w:val="19"/>
        </w:numPr>
        <w:spacing w:after="120" w:line="240" w:lineRule="auto"/>
        <w:jc w:val="both"/>
        <w:rPr>
          <w:rFonts w:ascii="Tahoma" w:hAnsi="Tahoma" w:cs="Tahoma"/>
          <w:sz w:val="20"/>
          <w:szCs w:val="20"/>
        </w:rPr>
      </w:pPr>
      <w:r w:rsidRPr="002C707E">
        <w:rPr>
          <w:rFonts w:ascii="Tahoma" w:hAnsi="Tahoma" w:cs="Tahoma"/>
          <w:b/>
          <w:bCs/>
          <w:sz w:val="20"/>
          <w:szCs w:val="20"/>
          <w:u w:val="single"/>
        </w:rPr>
        <w:t xml:space="preserve">Ενισχύσεις για τον πολιτισμό και τη διατήρηση της κληρονομιάς </w:t>
      </w:r>
      <w:r w:rsidR="00EA32F4" w:rsidRPr="00DB5B7B">
        <w:rPr>
          <w:rFonts w:ascii="Tahoma" w:hAnsi="Tahoma" w:cs="Tahoma"/>
          <w:sz w:val="20"/>
          <w:szCs w:val="20"/>
        </w:rPr>
        <w:t xml:space="preserve">Οι ενισχύσεις </w:t>
      </w:r>
      <w:r w:rsidRPr="00DB5B7B">
        <w:rPr>
          <w:rFonts w:ascii="Tahoma" w:hAnsi="Tahoma" w:cs="Tahoma"/>
          <w:sz w:val="20"/>
          <w:szCs w:val="20"/>
        </w:rPr>
        <w:t xml:space="preserve">για τον πολιτισμό και τη διατήρηση της κληρονομιάς </w:t>
      </w:r>
      <w:r w:rsidR="00EA32F4" w:rsidRPr="00DB5B7B">
        <w:rPr>
          <w:rFonts w:ascii="Tahoma" w:hAnsi="Tahoma" w:cs="Tahoma"/>
          <w:sz w:val="20"/>
          <w:szCs w:val="20"/>
        </w:rPr>
        <w:t xml:space="preserve"> συμβιβάζονται με την εσωτερική αγορά κατά την έννοια του άρθρου 107 παράγραφος 3 της Συνθήκης και απαλλάσσονται από την υποχρέωση κοινοποίησης που προβλέπεται στο άρθρο 108 παράγραφος 3 της Συνθήκης, εφόσον πληρούνται οι προϋποθέσεις του άρθρου </w:t>
      </w:r>
      <w:r w:rsidRPr="00DB5B7B">
        <w:rPr>
          <w:rFonts w:ascii="Tahoma" w:hAnsi="Tahoma" w:cs="Tahoma"/>
          <w:sz w:val="20"/>
          <w:szCs w:val="20"/>
        </w:rPr>
        <w:t>53</w:t>
      </w:r>
      <w:r w:rsidR="00791D55" w:rsidRPr="00DB5B7B">
        <w:rPr>
          <w:rFonts w:ascii="Tahoma" w:hAnsi="Tahoma" w:cs="Tahoma"/>
          <w:sz w:val="20"/>
          <w:szCs w:val="20"/>
        </w:rPr>
        <w:t xml:space="preserve"> </w:t>
      </w:r>
      <w:r w:rsidR="00EA32F4" w:rsidRPr="00DB5B7B">
        <w:rPr>
          <w:rFonts w:ascii="Tahoma" w:hAnsi="Tahoma" w:cs="Tahoma"/>
          <w:sz w:val="20"/>
          <w:szCs w:val="20"/>
        </w:rPr>
        <w:t>και του κεφαλαίου Ι</w:t>
      </w:r>
      <w:r w:rsidR="00791D55" w:rsidRPr="00DB5B7B">
        <w:rPr>
          <w:rFonts w:ascii="Tahoma" w:hAnsi="Tahoma" w:cs="Tahoma"/>
          <w:sz w:val="20"/>
          <w:szCs w:val="20"/>
        </w:rPr>
        <w:t xml:space="preserve"> του ΓΑΚ, ως εξής:</w:t>
      </w:r>
      <w:r w:rsidR="00EA32F4" w:rsidRPr="00DB5B7B">
        <w:rPr>
          <w:rFonts w:ascii="Tahoma" w:hAnsi="Tahoma" w:cs="Tahoma"/>
          <w:sz w:val="20"/>
          <w:szCs w:val="20"/>
        </w:rPr>
        <w:t xml:space="preserve"> </w:t>
      </w:r>
    </w:p>
    <w:p w:rsidR="002C707E" w:rsidRPr="00DB5B7B" w:rsidRDefault="002C707E" w:rsidP="00DB5B7B">
      <w:pPr>
        <w:pStyle w:val="a6"/>
        <w:numPr>
          <w:ilvl w:val="0"/>
          <w:numId w:val="19"/>
        </w:numPr>
        <w:spacing w:after="120" w:line="240" w:lineRule="auto"/>
        <w:jc w:val="both"/>
        <w:rPr>
          <w:rFonts w:ascii="Tahoma" w:hAnsi="Tahoma" w:cs="Tahoma"/>
          <w:sz w:val="20"/>
          <w:szCs w:val="20"/>
        </w:rPr>
      </w:pPr>
      <w:r w:rsidRPr="00DB5B7B">
        <w:rPr>
          <w:rFonts w:ascii="Tahoma" w:hAnsi="Tahoma" w:cs="Tahoma"/>
          <w:sz w:val="20"/>
          <w:szCs w:val="20"/>
        </w:rPr>
        <w:t>Οι ενισχύσεις χορηγούνται για τους ακόλουθους πολιτιστικούς σκοπούς και δραστηριότητες (παράγραφος 2):</w:t>
      </w:r>
    </w:p>
    <w:p w:rsidR="002C707E" w:rsidRPr="002C707E" w:rsidRDefault="002C707E" w:rsidP="00DB5B7B">
      <w:pPr>
        <w:spacing w:after="120" w:line="240" w:lineRule="auto"/>
        <w:ind w:left="360"/>
        <w:jc w:val="both"/>
        <w:rPr>
          <w:rFonts w:ascii="Tahoma" w:hAnsi="Tahoma" w:cs="Tahoma"/>
          <w:sz w:val="20"/>
          <w:szCs w:val="20"/>
        </w:rPr>
      </w:pPr>
      <w:r>
        <w:rPr>
          <w:rFonts w:ascii="Tahoma" w:hAnsi="Tahoma" w:cs="Tahoma"/>
          <w:sz w:val="20"/>
          <w:szCs w:val="20"/>
        </w:rPr>
        <w:t>α)</w:t>
      </w:r>
      <w:r w:rsidRPr="002C707E">
        <w:rPr>
          <w:rFonts w:ascii="Tahoma" w:hAnsi="Tahoma" w:cs="Tahoma"/>
          <w:sz w:val="20"/>
          <w:szCs w:val="20"/>
        </w:rPr>
        <w:t xml:space="preserve"> μουσεία, αρχεία, βιβλιοθήκες, καλλιτεχνικά και πολιτιστικά κέντρα ή χώροι, θέατρα, λυρικές σκηνές, αίθουσες συναυλιών, άλλοι οργανισμοί στον τομέα του ζωντανού θεάματος, ιδρύματα κινηματογραφικής κληρονομιάς και άλλες παρόμοιες καλλιτεχνικές και πολιτιστικές υποδομές, οργανώσεις και ιδρύματα·</w:t>
      </w:r>
    </w:p>
    <w:p w:rsidR="002C707E" w:rsidRPr="002C707E" w:rsidRDefault="002C707E" w:rsidP="00DB5B7B">
      <w:pPr>
        <w:spacing w:after="120" w:line="240" w:lineRule="auto"/>
        <w:ind w:left="360"/>
        <w:jc w:val="both"/>
        <w:rPr>
          <w:rFonts w:ascii="Tahoma" w:hAnsi="Tahoma" w:cs="Tahoma"/>
          <w:sz w:val="20"/>
          <w:szCs w:val="20"/>
        </w:rPr>
      </w:pPr>
      <w:r>
        <w:rPr>
          <w:rFonts w:ascii="Tahoma" w:hAnsi="Tahoma" w:cs="Tahoma"/>
          <w:sz w:val="20"/>
          <w:szCs w:val="20"/>
        </w:rPr>
        <w:t>β</w:t>
      </w:r>
      <w:r w:rsidRPr="002C707E">
        <w:rPr>
          <w:rFonts w:ascii="Tahoma" w:hAnsi="Tahoma" w:cs="Tahoma"/>
          <w:sz w:val="20"/>
          <w:szCs w:val="20"/>
        </w:rPr>
        <w:t>) υλική κληρονομιά, συμπεριλαμβανομένων όλων των μορφών της πολιτιστικής</w:t>
      </w:r>
      <w:r>
        <w:rPr>
          <w:rFonts w:ascii="Tahoma" w:hAnsi="Tahoma" w:cs="Tahoma"/>
          <w:sz w:val="20"/>
          <w:szCs w:val="20"/>
        </w:rPr>
        <w:t xml:space="preserve"> </w:t>
      </w:r>
      <w:r w:rsidRPr="002C707E">
        <w:rPr>
          <w:rFonts w:ascii="Tahoma" w:hAnsi="Tahoma" w:cs="Tahoma"/>
          <w:sz w:val="20"/>
          <w:szCs w:val="20"/>
        </w:rPr>
        <w:t>κληρονομιάς, κινητής ή ακίνητης, των αρχαιολογικών χώρων, των μνημείων, των ιστορικών χώρων και κτιρίων· φυσική κληρονομιά που συνδέεται με την πολιτιστική κληρονομιά ή αναγνωρίζεται επισήμως ως πολιτιστική ή φυσική κληρονομιά από τις αρμόδιες δημόσιες αρχές κράτους μέλους·</w:t>
      </w:r>
    </w:p>
    <w:p w:rsidR="002C707E" w:rsidRPr="002C707E" w:rsidRDefault="002C707E" w:rsidP="00DB5B7B">
      <w:pPr>
        <w:spacing w:after="120" w:line="240" w:lineRule="auto"/>
        <w:ind w:left="360"/>
        <w:jc w:val="both"/>
        <w:rPr>
          <w:rFonts w:ascii="Tahoma" w:hAnsi="Tahoma" w:cs="Tahoma"/>
          <w:sz w:val="20"/>
          <w:szCs w:val="20"/>
        </w:rPr>
      </w:pPr>
      <w:r>
        <w:rPr>
          <w:rFonts w:ascii="Tahoma" w:hAnsi="Tahoma" w:cs="Tahoma"/>
          <w:sz w:val="20"/>
          <w:szCs w:val="20"/>
        </w:rPr>
        <w:t>γ</w:t>
      </w:r>
      <w:r w:rsidRPr="002C707E">
        <w:rPr>
          <w:rFonts w:ascii="Tahoma" w:hAnsi="Tahoma" w:cs="Tahoma"/>
          <w:sz w:val="20"/>
          <w:szCs w:val="20"/>
        </w:rPr>
        <w:t>) άυλη κληρονομιά οποιασδήποτε μορφής, συμπεριλαμβανομένων των εθίμων και της χειροτεχνίας της λαϊκής παράδοσης·</w:t>
      </w:r>
    </w:p>
    <w:p w:rsidR="002C707E" w:rsidRPr="002C707E" w:rsidRDefault="002C707E" w:rsidP="00DB5B7B">
      <w:pPr>
        <w:spacing w:after="120" w:line="240" w:lineRule="auto"/>
        <w:ind w:left="360"/>
        <w:jc w:val="both"/>
        <w:rPr>
          <w:rFonts w:ascii="Tahoma" w:hAnsi="Tahoma" w:cs="Tahoma"/>
          <w:sz w:val="20"/>
          <w:szCs w:val="20"/>
        </w:rPr>
      </w:pPr>
      <w:r>
        <w:rPr>
          <w:rFonts w:ascii="Tahoma" w:hAnsi="Tahoma" w:cs="Tahoma"/>
          <w:sz w:val="20"/>
          <w:szCs w:val="20"/>
        </w:rPr>
        <w:t>δ</w:t>
      </w:r>
      <w:r w:rsidRPr="002C707E">
        <w:rPr>
          <w:rFonts w:ascii="Tahoma" w:hAnsi="Tahoma" w:cs="Tahoma"/>
          <w:sz w:val="20"/>
          <w:szCs w:val="20"/>
        </w:rPr>
        <w:t>) καλλιτεχνικές ή πολιτιστικές εκδηλώσεις και παραστάσεις, φεστιβάλ, εκθέσεις και άλλες παρόμοιες πολιτιστικές δραστηριότητες·</w:t>
      </w:r>
    </w:p>
    <w:p w:rsidR="002C707E" w:rsidRPr="002C707E" w:rsidRDefault="002C707E" w:rsidP="00DB5B7B">
      <w:pPr>
        <w:spacing w:after="120" w:line="240" w:lineRule="auto"/>
        <w:ind w:left="360"/>
        <w:jc w:val="both"/>
        <w:rPr>
          <w:rFonts w:ascii="Tahoma" w:hAnsi="Tahoma" w:cs="Tahoma"/>
          <w:sz w:val="20"/>
          <w:szCs w:val="20"/>
        </w:rPr>
      </w:pPr>
      <w:r>
        <w:rPr>
          <w:rFonts w:ascii="Tahoma" w:hAnsi="Tahoma" w:cs="Tahoma"/>
          <w:sz w:val="20"/>
          <w:szCs w:val="20"/>
        </w:rPr>
        <w:t>ε</w:t>
      </w:r>
      <w:r w:rsidRPr="002C707E">
        <w:rPr>
          <w:rFonts w:ascii="Tahoma" w:hAnsi="Tahoma" w:cs="Tahoma"/>
          <w:sz w:val="20"/>
          <w:szCs w:val="20"/>
        </w:rPr>
        <w:t>) πολιτιστικές και καλλιτεχνικές εκπαιδευτικές δραστηριότητες, καθώς και προώθηση της κατανόησης της σημασίας που έχει η προστασία και η προώθηση της πολυμορφίας της πολιτιστικής έκφρασης μέσω προγραμμάτων εκπαίδευσης και αυξημένης ευαισθητοποίησης του κοινού, μεταξύ άλλων με τη χρήση των νέων τεχνολογιών·</w:t>
      </w:r>
    </w:p>
    <w:p w:rsidR="002C707E" w:rsidRDefault="002C707E" w:rsidP="00DB5B7B">
      <w:pPr>
        <w:spacing w:after="120" w:line="240" w:lineRule="auto"/>
        <w:ind w:left="360"/>
        <w:jc w:val="both"/>
        <w:rPr>
          <w:rFonts w:ascii="Tahoma" w:hAnsi="Tahoma" w:cs="Tahoma"/>
          <w:sz w:val="20"/>
          <w:szCs w:val="20"/>
        </w:rPr>
      </w:pPr>
      <w:r>
        <w:rPr>
          <w:rFonts w:ascii="Tahoma" w:hAnsi="Tahoma" w:cs="Tahoma"/>
          <w:sz w:val="20"/>
          <w:szCs w:val="20"/>
        </w:rPr>
        <w:t>στ</w:t>
      </w:r>
      <w:r w:rsidRPr="002C707E">
        <w:rPr>
          <w:rFonts w:ascii="Tahoma" w:hAnsi="Tahoma" w:cs="Tahoma"/>
          <w:sz w:val="20"/>
          <w:szCs w:val="20"/>
        </w:rPr>
        <w:t>) σύνταξη ή σύνθεση, επεξεργασία, παραγωγή, διανομή, ψηφιοποίηση και έκδοση μουσικών και λογοτεχνικών έργων, συμπεριλαμβανομένων των μεταφράσεων.</w:t>
      </w:r>
    </w:p>
    <w:p w:rsidR="002C707E" w:rsidRPr="00DB5B7B" w:rsidRDefault="002C707E" w:rsidP="00DB5B7B">
      <w:pPr>
        <w:pStyle w:val="a6"/>
        <w:numPr>
          <w:ilvl w:val="0"/>
          <w:numId w:val="19"/>
        </w:numPr>
        <w:spacing w:after="120" w:line="240" w:lineRule="auto"/>
        <w:jc w:val="both"/>
        <w:rPr>
          <w:rFonts w:ascii="Tahoma" w:hAnsi="Tahoma" w:cs="Tahoma"/>
          <w:sz w:val="20"/>
          <w:szCs w:val="20"/>
        </w:rPr>
      </w:pPr>
      <w:r w:rsidRPr="00DB5B7B">
        <w:rPr>
          <w:rFonts w:ascii="Tahoma" w:hAnsi="Tahoma" w:cs="Tahoma"/>
          <w:sz w:val="20"/>
          <w:szCs w:val="20"/>
        </w:rPr>
        <w:t>Οι ενισχύσεις μπορούν να λάβουν τη μορφή (παράγραφος 3):</w:t>
      </w:r>
    </w:p>
    <w:p w:rsidR="002C707E" w:rsidRP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α) επενδυτικών ενισχύσεων, συμπεριλαμβανομένων των ενισχύσεων για την κατασκευή ή την αναβάθμιση της πολιτιστικής υποδομής·</w:t>
      </w:r>
    </w:p>
    <w:p w:rsidR="00F105B1" w:rsidRDefault="002C707E" w:rsidP="00DB5B7B">
      <w:pPr>
        <w:spacing w:after="120" w:line="240" w:lineRule="auto"/>
        <w:ind w:firstLine="360"/>
        <w:jc w:val="both"/>
        <w:rPr>
          <w:rFonts w:ascii="Tahoma" w:hAnsi="Tahoma" w:cs="Tahoma"/>
          <w:sz w:val="20"/>
          <w:szCs w:val="20"/>
        </w:rPr>
      </w:pPr>
      <w:r w:rsidRPr="002C707E">
        <w:rPr>
          <w:rFonts w:ascii="Tahoma" w:hAnsi="Tahoma" w:cs="Tahoma"/>
          <w:sz w:val="20"/>
          <w:szCs w:val="20"/>
        </w:rPr>
        <w:t>β) ενισχύσεων λειτουργίας.</w:t>
      </w:r>
    </w:p>
    <w:p w:rsidR="002C707E" w:rsidRPr="00DB5B7B" w:rsidRDefault="002C707E" w:rsidP="00DB5B7B">
      <w:pPr>
        <w:pStyle w:val="a6"/>
        <w:numPr>
          <w:ilvl w:val="0"/>
          <w:numId w:val="19"/>
        </w:numPr>
        <w:spacing w:after="120" w:line="240" w:lineRule="auto"/>
        <w:jc w:val="both"/>
        <w:rPr>
          <w:rFonts w:ascii="Tahoma" w:hAnsi="Tahoma" w:cs="Tahoma"/>
          <w:sz w:val="20"/>
          <w:szCs w:val="20"/>
        </w:rPr>
      </w:pPr>
      <w:r w:rsidRPr="00DB5B7B">
        <w:rPr>
          <w:rFonts w:ascii="Tahoma" w:hAnsi="Tahoma" w:cs="Tahoma"/>
          <w:sz w:val="20"/>
          <w:szCs w:val="20"/>
        </w:rPr>
        <w:t>Για τις επενδυτικές ενισχύσεις, οι επιλέξιμες δαπάνες συνίστανται στο επενδυτικό κόστος σε ενσώματα και άυλα στοιχεία ενεργητικού, μεταξύ των οποίων περιλαμβάνονται (παράγραφος 4):</w:t>
      </w:r>
    </w:p>
    <w:p w:rsidR="002C707E" w:rsidRP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lastRenderedPageBreak/>
        <w:t>α) οι δαπάνες για την κατασκευή, την αναβάθμιση, την απόκτηση, τη συντήρηση ή τη βελτίωση των υποδομών, εφόσον χρησιμοποιούνται κατά το 80% τουλάχιστον της δυναμικότητάς τους ετησίως, τόσο σε χρόνο όσο και σε χώρο, για πολιτιστικούς σκοπούς·</w:t>
      </w:r>
    </w:p>
    <w:p w:rsid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β) οι δαπάνες απόκτησης, συμπεριλαμβανομένης της χρηματοδοτικής μίσθωσης, μεταβίβασης ιδιοκτησίας ή υλικής μετεγκατάστασης της πολιτιστικής</w:t>
      </w:r>
      <w:r>
        <w:rPr>
          <w:rFonts w:ascii="Tahoma" w:hAnsi="Tahoma" w:cs="Tahoma"/>
          <w:sz w:val="20"/>
          <w:szCs w:val="20"/>
        </w:rPr>
        <w:t xml:space="preserve"> κληρονομιάς</w:t>
      </w:r>
    </w:p>
    <w:p w:rsidR="002C707E" w:rsidRP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γ) οι δαπάνες για την προστασία, τη διατήρηση, την αποκατάσταση και την ανάπλαση της υλικής και άυλης πολιτιστικής κληρονομιάς, συμπεριλαμβανομένου του επιπλέον κόστους αποθήκευσης υπό κατάλληλες συνθήκες, ειδικών εργαλείων και υλικών, καθώς και οι δαπάνες για τεκμηρίωση, έρευνα, ψηφιοποίηση και δημοσίευση·</w:t>
      </w:r>
    </w:p>
    <w:p w:rsidR="002C707E" w:rsidRP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 xml:space="preserve">δ) οι δαπάνες για τη βελτίωση της δυνατότητας πρόσβασης του κοινού στην πολιτιστική κληρονομιά, συμπεριλαμβανομένων των δαπανών για ψηφιοποίηση και άλλες νέες τεχνολογίες, οι δαπάνες για τη βελτίωση της </w:t>
      </w:r>
      <w:proofErr w:type="spellStart"/>
      <w:r w:rsidRPr="002C707E">
        <w:rPr>
          <w:rFonts w:ascii="Tahoma" w:hAnsi="Tahoma" w:cs="Tahoma"/>
          <w:sz w:val="20"/>
          <w:szCs w:val="20"/>
        </w:rPr>
        <w:t>προσπελασιμότητας</w:t>
      </w:r>
      <w:proofErr w:type="spellEnd"/>
      <w:r w:rsidRPr="002C707E">
        <w:rPr>
          <w:rFonts w:ascii="Tahoma" w:hAnsi="Tahoma" w:cs="Tahoma"/>
          <w:sz w:val="20"/>
          <w:szCs w:val="20"/>
        </w:rPr>
        <w:t xml:space="preserve"> για τα άτομα με ειδικές ανάγκες (ιδίως, ράμπες και ανελκυστήρες για τα άτομα με αναπηρία, ενδείξεις σε γραφή </w:t>
      </w:r>
      <w:proofErr w:type="spellStart"/>
      <w:r w:rsidRPr="002C707E">
        <w:rPr>
          <w:rFonts w:ascii="Tahoma" w:hAnsi="Tahoma" w:cs="Tahoma"/>
          <w:sz w:val="20"/>
          <w:szCs w:val="20"/>
        </w:rPr>
        <w:t>Braille</w:t>
      </w:r>
      <w:proofErr w:type="spellEnd"/>
      <w:r w:rsidRPr="002C707E">
        <w:rPr>
          <w:rFonts w:ascii="Tahoma" w:hAnsi="Tahoma" w:cs="Tahoma"/>
          <w:sz w:val="20"/>
          <w:szCs w:val="20"/>
        </w:rPr>
        <w:t xml:space="preserve"> και </w:t>
      </w:r>
      <w:proofErr w:type="spellStart"/>
      <w:r w:rsidRPr="002C707E">
        <w:rPr>
          <w:rFonts w:ascii="Tahoma" w:hAnsi="Tahoma" w:cs="Tahoma"/>
          <w:sz w:val="20"/>
          <w:szCs w:val="20"/>
        </w:rPr>
        <w:t>διαδραστικές</w:t>
      </w:r>
      <w:proofErr w:type="spellEnd"/>
      <w:r w:rsidRPr="002C707E">
        <w:rPr>
          <w:rFonts w:ascii="Tahoma" w:hAnsi="Tahoma" w:cs="Tahoma"/>
          <w:sz w:val="20"/>
          <w:szCs w:val="20"/>
        </w:rPr>
        <w:t xml:space="preserve"> εκθέσεις σε μουσεία), και για την προαγωγή της πολιτιστικής πολυμορφίας όσον αφορά τις παραστάσεις, τα προγράμματα και τους επισκέπτες·</w:t>
      </w:r>
    </w:p>
    <w:p w:rsidR="002C707E" w:rsidRP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ε) οι δαπάνες για πολιτιστικά έργα και δραστηριότητες, για προγράμματα συνεργασίας και ανταλλαγών, καθώς και υποτροφίες, συμπεριλαμβανομένων των δαπανών για διαδικασίες επιλογής, των δαπανών προώθησης και των δαπανών που προκύπτουν άμεσα από το έργο.</w:t>
      </w:r>
    </w:p>
    <w:p w:rsidR="002C707E" w:rsidRPr="00DB5B7B" w:rsidRDefault="002C707E" w:rsidP="00DB5B7B">
      <w:pPr>
        <w:pStyle w:val="a6"/>
        <w:numPr>
          <w:ilvl w:val="0"/>
          <w:numId w:val="19"/>
        </w:numPr>
        <w:spacing w:after="120" w:line="240" w:lineRule="auto"/>
        <w:jc w:val="both"/>
        <w:rPr>
          <w:rFonts w:ascii="Tahoma" w:hAnsi="Tahoma" w:cs="Tahoma"/>
          <w:sz w:val="20"/>
          <w:szCs w:val="20"/>
        </w:rPr>
      </w:pPr>
      <w:r w:rsidRPr="00DB5B7B">
        <w:rPr>
          <w:rFonts w:ascii="Tahoma" w:hAnsi="Tahoma" w:cs="Tahoma"/>
          <w:sz w:val="20"/>
          <w:szCs w:val="20"/>
        </w:rPr>
        <w:t>Για τις ενισχύσεις λειτουργίας, επιλέξιμες είναι οι ακόλουθες δαπάνες (παράγραφος 5):</w:t>
      </w:r>
    </w:p>
    <w:p w:rsidR="002C707E" w:rsidRP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α) οι δαπάνες των πολιτιστικών ιδρυμάτων ή του χώρου πολιτιστικής κληρονομιάς που συνδέονται με διαρκείς ή περιοδικές δραστηριότητες, στις οποίες περιλαμβάνονται εκθέσεις, παραστάσεις και εκδηλώσεις, καθώς και συναφείς πολιτιστικές δραστηριότητες που εντάσσονται στη συνήθη πορεία των εργασιών·</w:t>
      </w:r>
    </w:p>
    <w:p w:rsidR="002C707E" w:rsidRPr="002C707E"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β) οι δαπάνες για πολιτιστικές και καλλιτεχνικές εκπαιδευτικές δραστηριότητες, καθώς και για προώθηση της κατανόησης της σημασίας που έχει η προστασία και η προώθηση της πολυμορφίας της πολιτιστικής έκφρασης μέσω προγραμμάτων εκπαίδευσης και αυξημένης ευαισθητοποίησης του κοινού, μεταξύ άλλων με τη χρήση των νέων τεχνολογιών·</w:t>
      </w:r>
    </w:p>
    <w:p w:rsidR="00D346D5" w:rsidRPr="00D346D5" w:rsidRDefault="002C707E" w:rsidP="00DB5B7B">
      <w:pPr>
        <w:spacing w:after="120" w:line="240" w:lineRule="auto"/>
        <w:ind w:left="360"/>
        <w:jc w:val="both"/>
        <w:rPr>
          <w:rFonts w:ascii="Tahoma" w:hAnsi="Tahoma" w:cs="Tahoma"/>
          <w:sz w:val="20"/>
          <w:szCs w:val="20"/>
        </w:rPr>
      </w:pPr>
      <w:r w:rsidRPr="002C707E">
        <w:rPr>
          <w:rFonts w:ascii="Tahoma" w:hAnsi="Tahoma" w:cs="Tahoma"/>
          <w:sz w:val="20"/>
          <w:szCs w:val="20"/>
        </w:rPr>
        <w:t>γ) οι δαπάνες για τη βελτίωση της πρόσβασης του κοινού στα πολιτιστικά ιδρύματα ή τους χώρους πολιτιστικής κληρονομιάς και στις δραστηριότητες,</w:t>
      </w:r>
      <w:r w:rsidR="00D346D5" w:rsidRPr="00D346D5">
        <w:t xml:space="preserve"> </w:t>
      </w:r>
      <w:r w:rsidR="00D346D5" w:rsidRPr="00D346D5">
        <w:rPr>
          <w:rFonts w:ascii="Tahoma" w:hAnsi="Tahoma" w:cs="Tahoma"/>
          <w:sz w:val="20"/>
          <w:szCs w:val="20"/>
        </w:rPr>
        <w:t xml:space="preserve">συμπεριλαμβανομένου του κόστους της ψηφιοποίησης και της χρήσης νέων τεχνολογιών, καθώς και οι δαπάνες για τη βελτίωση της </w:t>
      </w:r>
      <w:proofErr w:type="spellStart"/>
      <w:r w:rsidR="00D346D5" w:rsidRPr="00D346D5">
        <w:rPr>
          <w:rFonts w:ascii="Tahoma" w:hAnsi="Tahoma" w:cs="Tahoma"/>
          <w:sz w:val="20"/>
          <w:szCs w:val="20"/>
        </w:rPr>
        <w:t>προσπελασιμότητας</w:t>
      </w:r>
      <w:proofErr w:type="spellEnd"/>
      <w:r w:rsidR="00D346D5" w:rsidRPr="00D346D5">
        <w:rPr>
          <w:rFonts w:ascii="Tahoma" w:hAnsi="Tahoma" w:cs="Tahoma"/>
          <w:sz w:val="20"/>
          <w:szCs w:val="20"/>
        </w:rPr>
        <w:t xml:space="preserve"> για τα άτομα με αναπηρία·</w:t>
      </w:r>
    </w:p>
    <w:p w:rsidR="00D346D5" w:rsidRPr="00D346D5" w:rsidRDefault="00D346D5" w:rsidP="00DB5B7B">
      <w:pPr>
        <w:spacing w:after="120" w:line="240" w:lineRule="auto"/>
        <w:ind w:left="360"/>
        <w:jc w:val="both"/>
        <w:rPr>
          <w:rFonts w:ascii="Tahoma" w:hAnsi="Tahoma" w:cs="Tahoma"/>
          <w:sz w:val="20"/>
          <w:szCs w:val="20"/>
        </w:rPr>
      </w:pPr>
      <w:r w:rsidRPr="00D346D5">
        <w:rPr>
          <w:rFonts w:ascii="Tahoma" w:hAnsi="Tahoma" w:cs="Tahoma"/>
          <w:sz w:val="20"/>
          <w:szCs w:val="20"/>
        </w:rPr>
        <w:t>δ) οι δαπάνες λειτουργίας που συνδέονται άμεσα με το πολιτιστικό έργο ή δραστηριότητα, όπως η απλή ή χρηματοδοτική μίσθωση ακινήτων και χώρων πολιτιστικών εκδηλώσεων, τα έξοδα ταξιδίου, υλικά και προμήθειες που σχετίζονται άμεσα με το πολιτιστικό έργο ή τη δραστηριότητα, αρχιτεκτονικές δομές για εκθέσεις και θεατρικές σκηνές, δανεισμός, μίσθωση και απόσβεση εργαλείων, λογισμικού και εξοπλισμού, οι δαπάνες για τα δικαιώματα πρόσβασης σε έργα καλυπτόμενα από δικαιώματα πνευματικής ιδιοκτησίας και άλλα περιεχόμενα προστατευόμενα από δικαιώματα διανοητικής ιδιοκτησίας, οι δαπάνες προώθησης και οι δαπάνες που προκύπτουν άμεσα από το έργο ή τη δραστηριότητα· αποσβέσεις και έξοδα χρηματοδότησης είναι επιλέξιμα μόνον εάν δεν έχουν καλυφθεί από επενδυτική ενίσχυση·</w:t>
      </w:r>
    </w:p>
    <w:p w:rsidR="00D346D5" w:rsidRPr="00D346D5" w:rsidRDefault="00D346D5" w:rsidP="00DB5B7B">
      <w:pPr>
        <w:spacing w:after="120" w:line="240" w:lineRule="auto"/>
        <w:ind w:left="360"/>
        <w:jc w:val="both"/>
        <w:rPr>
          <w:rFonts w:ascii="Tahoma" w:hAnsi="Tahoma" w:cs="Tahoma"/>
          <w:sz w:val="20"/>
          <w:szCs w:val="20"/>
        </w:rPr>
      </w:pPr>
      <w:r w:rsidRPr="00D346D5">
        <w:rPr>
          <w:rFonts w:ascii="Tahoma" w:hAnsi="Tahoma" w:cs="Tahoma"/>
          <w:sz w:val="20"/>
          <w:szCs w:val="20"/>
        </w:rPr>
        <w:t>ε) οι δαπάνες για το προσωπικό που απασχολείται στο πολιτιστικό ίδρυμα, τον χώρο πολιτιστικής κληρονομιάς ή το έργο·</w:t>
      </w:r>
    </w:p>
    <w:p w:rsidR="002C707E" w:rsidRDefault="00D346D5" w:rsidP="00DB5B7B">
      <w:pPr>
        <w:spacing w:after="120" w:line="240" w:lineRule="auto"/>
        <w:ind w:left="360"/>
        <w:jc w:val="both"/>
        <w:rPr>
          <w:rFonts w:ascii="Tahoma" w:hAnsi="Tahoma" w:cs="Tahoma"/>
          <w:sz w:val="20"/>
          <w:szCs w:val="20"/>
        </w:rPr>
      </w:pPr>
      <w:r w:rsidRPr="00D346D5">
        <w:rPr>
          <w:rFonts w:ascii="Tahoma" w:hAnsi="Tahoma" w:cs="Tahoma"/>
          <w:sz w:val="20"/>
          <w:szCs w:val="20"/>
        </w:rPr>
        <w:t xml:space="preserve">στ) οι δαπάνες για συμβουλευτικές και υποστηρικτικές υπηρεσίες που παρέχονται από εξωτερικούς συμβούλους και </w:t>
      </w:r>
      <w:proofErr w:type="spellStart"/>
      <w:r w:rsidRPr="00D346D5">
        <w:rPr>
          <w:rFonts w:ascii="Tahoma" w:hAnsi="Tahoma" w:cs="Tahoma"/>
          <w:sz w:val="20"/>
          <w:szCs w:val="20"/>
        </w:rPr>
        <w:t>παρόχους</w:t>
      </w:r>
      <w:proofErr w:type="spellEnd"/>
      <w:r w:rsidRPr="00D346D5">
        <w:rPr>
          <w:rFonts w:ascii="Tahoma" w:hAnsi="Tahoma" w:cs="Tahoma"/>
          <w:sz w:val="20"/>
          <w:szCs w:val="20"/>
        </w:rPr>
        <w:t xml:space="preserve"> υπηρεσιών, οι οποίες προκύπτουν άμεσα από το έργο.</w:t>
      </w:r>
    </w:p>
    <w:p w:rsidR="00F105B1" w:rsidRDefault="00F105B1" w:rsidP="00DB5B7B">
      <w:pPr>
        <w:pStyle w:val="a6"/>
        <w:numPr>
          <w:ilvl w:val="0"/>
          <w:numId w:val="19"/>
        </w:numPr>
        <w:spacing w:after="120" w:line="240" w:lineRule="auto"/>
        <w:jc w:val="both"/>
        <w:rPr>
          <w:rFonts w:ascii="Tahoma" w:hAnsi="Tahoma" w:cs="Tahoma"/>
          <w:sz w:val="20"/>
          <w:szCs w:val="20"/>
        </w:rPr>
      </w:pPr>
      <w:r w:rsidRPr="00F105B1">
        <w:rPr>
          <w:rFonts w:ascii="Tahoma" w:hAnsi="Tahoma" w:cs="Tahoma"/>
          <w:sz w:val="20"/>
          <w:szCs w:val="20"/>
        </w:rPr>
        <w:t>Για τις επενδυτικές ενισχύσεις, το ποσό της ενίσχυσης δεν υπερβαίνει τη διαφορά μεταξύ των επιλέξιμων δαπανών και του κέρδους εκμετάλλευσης της επένδυσης. Το κέρδος εκμετάλλευσης αφαιρείται από τις επιλέξιμες δαπάνες εκ των προτέρων, βάσει εύλογων προβλέψεων, ή μέσω μηχανισμού ανάκτησης. Ο φορέας εκμετάλλευσης της υποδομής επιτρέπεται να διατηρεί ένα εύλογο κέρδος κατά τη διάρκεια της αντίστοιχης περιόδου (παράγραφος 6).</w:t>
      </w:r>
    </w:p>
    <w:p w:rsidR="00F105B1" w:rsidRDefault="00F105B1" w:rsidP="00DB5B7B">
      <w:pPr>
        <w:pStyle w:val="a6"/>
        <w:numPr>
          <w:ilvl w:val="0"/>
          <w:numId w:val="19"/>
        </w:numPr>
        <w:spacing w:after="120" w:line="240" w:lineRule="auto"/>
        <w:jc w:val="both"/>
        <w:rPr>
          <w:rFonts w:ascii="Tahoma" w:hAnsi="Tahoma" w:cs="Tahoma"/>
          <w:sz w:val="20"/>
          <w:szCs w:val="20"/>
        </w:rPr>
      </w:pPr>
      <w:r w:rsidRPr="00F105B1">
        <w:rPr>
          <w:rFonts w:ascii="Tahoma" w:hAnsi="Tahoma" w:cs="Tahoma"/>
          <w:sz w:val="20"/>
          <w:szCs w:val="20"/>
        </w:rPr>
        <w:lastRenderedPageBreak/>
        <w:t>Για τις ενισχύσεις λειτουργίας, το ποσό της ενίσχυσης δεν υπερβαίνει το ποσό που είναι απαραίτητο για την κάλυψη των ζημιών εκμετάλλευσης και ένα εύλογο κέρδος κατά τη σχετική περίοδο. Αυτό εξασφαλίζεται εκ των προτέρων, βάσει εύλογων προβλέψεων, ή μέσω μηχανισμού ανάκτησης (παράγραφος 7).</w:t>
      </w:r>
    </w:p>
    <w:p w:rsidR="00F105B1" w:rsidRDefault="00F105B1" w:rsidP="00DB5B7B">
      <w:pPr>
        <w:pStyle w:val="a6"/>
        <w:numPr>
          <w:ilvl w:val="0"/>
          <w:numId w:val="19"/>
        </w:numPr>
        <w:spacing w:after="120" w:line="240" w:lineRule="auto"/>
        <w:jc w:val="both"/>
        <w:rPr>
          <w:rFonts w:ascii="Tahoma" w:hAnsi="Tahoma" w:cs="Tahoma"/>
          <w:sz w:val="20"/>
          <w:szCs w:val="20"/>
        </w:rPr>
      </w:pPr>
      <w:r w:rsidRPr="00F105B1">
        <w:rPr>
          <w:rFonts w:ascii="Tahoma" w:hAnsi="Tahoma" w:cs="Tahoma"/>
          <w:sz w:val="20"/>
          <w:szCs w:val="20"/>
        </w:rPr>
        <w:t xml:space="preserve">Για τις ενισχύσεις που δεν υπερβαίνουν το 1 εκατ. ευρώ, το μέγιστο ποσό </w:t>
      </w:r>
      <w:r>
        <w:rPr>
          <w:rFonts w:ascii="Tahoma" w:hAnsi="Tahoma" w:cs="Tahoma"/>
          <w:sz w:val="20"/>
          <w:szCs w:val="20"/>
        </w:rPr>
        <w:t xml:space="preserve">της </w:t>
      </w:r>
      <w:r w:rsidRPr="00F105B1">
        <w:rPr>
          <w:rFonts w:ascii="Tahoma" w:hAnsi="Tahoma" w:cs="Tahoma"/>
          <w:sz w:val="20"/>
          <w:szCs w:val="20"/>
        </w:rPr>
        <w:t>ενίσχυσης μπορεί να καθοριστεί, αντί με τη μέθοδο που αναφέρεται στις παραγράφους 6 και 7, στο 80% των επιλέξιμων δαπανών (παράγραφος 9).</w:t>
      </w:r>
    </w:p>
    <w:p w:rsidR="00F105B1" w:rsidRDefault="00F105B1" w:rsidP="00DB5B7B">
      <w:pPr>
        <w:pStyle w:val="a6"/>
        <w:numPr>
          <w:ilvl w:val="0"/>
          <w:numId w:val="19"/>
        </w:numPr>
        <w:spacing w:after="120" w:line="240" w:lineRule="auto"/>
        <w:jc w:val="both"/>
        <w:rPr>
          <w:rFonts w:ascii="Tahoma" w:hAnsi="Tahoma" w:cs="Tahoma"/>
          <w:sz w:val="20"/>
          <w:szCs w:val="20"/>
        </w:rPr>
      </w:pPr>
      <w:r w:rsidRPr="00F105B1">
        <w:rPr>
          <w:rFonts w:ascii="Tahoma" w:hAnsi="Tahoma" w:cs="Tahoma"/>
          <w:sz w:val="20"/>
          <w:szCs w:val="20"/>
        </w:rPr>
        <w:t xml:space="preserve">Για την έκδοση μουσικών και λογοτεχνικών έργων, όπως ορίζονται στην παράγραφο 2 στοιχείο στ), το μέγιστο ποσό της ενίσχυσης δεν υπερβαίνει είτε τη διαφορά μεταξύ των επιλέξιμων δαπανών και των προεξοφλημένων εσόδων του έργου είτε το 70% των επιλέξιμων δαπανών. Τα έσοδα αφαιρούνται από τις επιλέξιμες δαπάνες εκ των προτέρων ή με μηχανισμό ανάκτησης. Επιλέξιμες είναι οι δαπάνες για την έκδοση μουσικών και λογοτεχνικών έργων, συμπεριλαμβανομένων των αμοιβών των δημιουργών (έξοδα πνευματικών δικαιωμάτων), των αμοιβών των μεταφραστών, των λοιπών εκδοτικών δαπανών (αναθεώρηση, διόρθωση, επιμέλεια), των εξόδων σχεδιασμού και </w:t>
      </w:r>
      <w:proofErr w:type="spellStart"/>
      <w:r w:rsidRPr="00F105B1">
        <w:rPr>
          <w:rFonts w:ascii="Tahoma" w:hAnsi="Tahoma" w:cs="Tahoma"/>
          <w:sz w:val="20"/>
          <w:szCs w:val="20"/>
        </w:rPr>
        <w:t>προεκτύπωσης</w:t>
      </w:r>
      <w:proofErr w:type="spellEnd"/>
      <w:r w:rsidRPr="00F105B1">
        <w:rPr>
          <w:rFonts w:ascii="Tahoma" w:hAnsi="Tahoma" w:cs="Tahoma"/>
          <w:sz w:val="20"/>
          <w:szCs w:val="20"/>
        </w:rPr>
        <w:t xml:space="preserve"> και των εξόδων εκτύπωσης ή ηλεκτρονικής έκδοσης (παράγραφος 9).</w:t>
      </w:r>
    </w:p>
    <w:p w:rsidR="00F105B1" w:rsidRPr="00DB5B7B" w:rsidRDefault="00F105B1" w:rsidP="00DB5B7B">
      <w:pPr>
        <w:pStyle w:val="a6"/>
        <w:numPr>
          <w:ilvl w:val="0"/>
          <w:numId w:val="19"/>
        </w:numPr>
        <w:spacing w:after="120" w:line="240" w:lineRule="auto"/>
        <w:jc w:val="both"/>
        <w:rPr>
          <w:rFonts w:ascii="Tahoma" w:hAnsi="Tahoma" w:cs="Tahoma"/>
          <w:sz w:val="20"/>
          <w:szCs w:val="20"/>
        </w:rPr>
      </w:pPr>
      <w:r w:rsidRPr="00F105B1">
        <w:rPr>
          <w:rFonts w:ascii="Tahoma" w:hAnsi="Tahoma" w:cs="Tahoma"/>
          <w:sz w:val="20"/>
          <w:szCs w:val="20"/>
        </w:rPr>
        <w:t>Οι ενισχύσεις προς τον Τύπο και τα περιοδικά, είτε εκδίδονται σε έντυπη είτε σε ηλεκτρονική μορφή, δεν είναι επιλέξιμες δυνάμει του παρόντος άρθρου (παράγραφος 10).</w:t>
      </w:r>
    </w:p>
    <w:p w:rsidR="00637C10" w:rsidRPr="00637C10" w:rsidRDefault="00637C10">
      <w:pPr>
        <w:spacing w:after="120" w:line="240" w:lineRule="auto"/>
        <w:jc w:val="both"/>
        <w:rPr>
          <w:rFonts w:ascii="Tahoma" w:hAnsi="Tahoma" w:cs="Tahoma"/>
          <w:sz w:val="20"/>
          <w:szCs w:val="20"/>
        </w:rPr>
      </w:pPr>
    </w:p>
    <w:sectPr w:rsidR="00637C10" w:rsidRPr="00637C10" w:rsidSect="00145D10">
      <w:headerReference w:type="default" r:id="rId9"/>
      <w:footerReference w:type="default" r:id="rId10"/>
      <w:pgSz w:w="11907" w:h="16840" w:code="9"/>
      <w:pgMar w:top="1418" w:right="1559" w:bottom="993" w:left="1134" w:header="425" w:footer="1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83E" w:rsidRDefault="00FC483E">
      <w:pPr>
        <w:spacing w:after="0" w:line="240" w:lineRule="auto"/>
      </w:pPr>
      <w:r>
        <w:separator/>
      </w:r>
    </w:p>
  </w:endnote>
  <w:endnote w:type="continuationSeparator" w:id="0">
    <w:p w:rsidR="00FC483E" w:rsidRDefault="00FC4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9" w:type="dxa"/>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4D7F17" w:rsidTr="00506DDE">
      <w:trPr>
        <w:trHeight w:val="1301"/>
      </w:trPr>
      <w:tc>
        <w:tcPr>
          <w:tcW w:w="2402" w:type="dxa"/>
          <w:shd w:val="clear" w:color="auto" w:fill="FFFFFF"/>
        </w:tcPr>
        <w:p w:rsidR="004D7F17" w:rsidRDefault="004D7F17">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extent cx="676275" cy="428625"/>
                <wp:effectExtent l="0" t="0" r="9525" b="952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4D7F17" w:rsidRPr="00B55C10"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4D7F17"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Ταμείο Συνοχής</w:t>
          </w:r>
        </w:p>
      </w:tc>
      <w:tc>
        <w:tcPr>
          <w:tcW w:w="2054"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481"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622" w:type="dxa"/>
          <w:shd w:val="clear" w:color="auto" w:fill="FFFFFF"/>
        </w:tcPr>
        <w:p w:rsidR="004D7F17" w:rsidRDefault="004D7F17">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extent cx="990600" cy="59055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r w:rsidR="004D7F17" w:rsidTr="001327C7">
      <w:trPr>
        <w:trHeight w:val="392"/>
      </w:trPr>
      <w:tc>
        <w:tcPr>
          <w:tcW w:w="9559" w:type="dxa"/>
          <w:gridSpan w:val="4"/>
          <w:shd w:val="clear" w:color="auto" w:fill="FFFFFF"/>
          <w:vAlign w:val="center"/>
        </w:tcPr>
        <w:p w:rsidR="004D7F17" w:rsidRPr="00506DDE" w:rsidRDefault="004D7F17" w:rsidP="00F25B58">
          <w:pPr>
            <w:widowControl w:val="0"/>
            <w:autoSpaceDE w:val="0"/>
            <w:autoSpaceDN w:val="0"/>
            <w:adjustRightInd w:val="0"/>
            <w:spacing w:after="0" w:line="240" w:lineRule="auto"/>
            <w:jc w:val="right"/>
            <w:rPr>
              <w:rFonts w:cs="Tahoma"/>
              <w:bCs/>
              <w:color w:val="000000"/>
              <w:sz w:val="16"/>
              <w:szCs w:val="16"/>
            </w:rPr>
          </w:pPr>
          <w:r>
            <w:rPr>
              <w:rFonts w:cs="Tahoma"/>
              <w:bCs/>
              <w:color w:val="000000"/>
              <w:sz w:val="16"/>
              <w:szCs w:val="16"/>
            </w:rPr>
            <w:t xml:space="preserve">                                                                        Σελίδα </w:t>
          </w:r>
          <w:r w:rsidR="0045136E">
            <w:rPr>
              <w:rFonts w:cs="Tahoma"/>
              <w:bCs/>
              <w:color w:val="000000"/>
              <w:sz w:val="16"/>
              <w:szCs w:val="16"/>
            </w:rPr>
            <w:fldChar w:fldCharType="begin"/>
          </w:r>
          <w:r>
            <w:rPr>
              <w:rFonts w:cs="Tahoma"/>
              <w:bCs/>
              <w:color w:val="000000"/>
              <w:sz w:val="16"/>
              <w:szCs w:val="16"/>
            </w:rPr>
            <w:instrText xml:space="preserve"> PAGE  \* Arabic  \* MERGEFORMAT </w:instrText>
          </w:r>
          <w:r w:rsidR="0045136E">
            <w:rPr>
              <w:rFonts w:cs="Tahoma"/>
              <w:bCs/>
              <w:color w:val="000000"/>
              <w:sz w:val="16"/>
              <w:szCs w:val="16"/>
            </w:rPr>
            <w:fldChar w:fldCharType="separate"/>
          </w:r>
          <w:r w:rsidR="005D51F7">
            <w:rPr>
              <w:rFonts w:cs="Tahoma"/>
              <w:bCs/>
              <w:noProof/>
              <w:color w:val="000000"/>
              <w:sz w:val="16"/>
              <w:szCs w:val="16"/>
            </w:rPr>
            <w:t>1</w:t>
          </w:r>
          <w:r w:rsidR="0045136E">
            <w:rPr>
              <w:rFonts w:cs="Tahoma"/>
              <w:bCs/>
              <w:color w:val="000000"/>
              <w:sz w:val="16"/>
              <w:szCs w:val="16"/>
            </w:rPr>
            <w:fldChar w:fldCharType="end"/>
          </w:r>
        </w:p>
      </w:tc>
    </w:tr>
  </w:tbl>
  <w:p w:rsidR="004D7F17" w:rsidRDefault="004D7F17"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83E" w:rsidRDefault="00FC483E">
      <w:pPr>
        <w:spacing w:after="0" w:line="240" w:lineRule="auto"/>
      </w:pPr>
      <w:r>
        <w:separator/>
      </w:r>
    </w:p>
  </w:footnote>
  <w:footnote w:type="continuationSeparator" w:id="0">
    <w:p w:rsidR="00FC483E" w:rsidRDefault="00FC48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17" w:rsidRDefault="004D7F17">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433F"/>
    <w:multiLevelType w:val="hybridMultilevel"/>
    <w:tmpl w:val="32429B3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2B91837"/>
    <w:multiLevelType w:val="hybridMultilevel"/>
    <w:tmpl w:val="2312C8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03E63E4A"/>
    <w:multiLevelType w:val="hybridMultilevel"/>
    <w:tmpl w:val="9DCAE93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nsid w:val="05B50FFE"/>
    <w:multiLevelType w:val="hybridMultilevel"/>
    <w:tmpl w:val="85E061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2590EA9"/>
    <w:multiLevelType w:val="hybridMultilevel"/>
    <w:tmpl w:val="2FC287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37B0AB8"/>
    <w:multiLevelType w:val="hybridMultilevel"/>
    <w:tmpl w:val="B06CC218"/>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2371678F"/>
    <w:multiLevelType w:val="hybridMultilevel"/>
    <w:tmpl w:val="2A0694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6A3707F"/>
    <w:multiLevelType w:val="hybridMultilevel"/>
    <w:tmpl w:val="272C0520"/>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2ADF6FB2"/>
    <w:multiLevelType w:val="hybridMultilevel"/>
    <w:tmpl w:val="475CF204"/>
    <w:lvl w:ilvl="0" w:tplc="08090019">
      <w:start w:val="1"/>
      <w:numFmt w:val="lowerLetter"/>
      <w:lvlText w:val="%1."/>
      <w:lvlJc w:val="left"/>
      <w:pPr>
        <w:ind w:left="720" w:hanging="360"/>
      </w:pPr>
    </w:lvl>
    <w:lvl w:ilvl="1" w:tplc="4A3C6882">
      <w:start w:val="1"/>
      <w:numFmt w:val="lowerRoman"/>
      <w:lvlText w:val="(%2)"/>
      <w:lvlJc w:val="left"/>
      <w:pPr>
        <w:ind w:left="1800" w:hanging="72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2EAB024C"/>
    <w:multiLevelType w:val="hybridMultilevel"/>
    <w:tmpl w:val="08C6FB38"/>
    <w:lvl w:ilvl="0" w:tplc="0408000F">
      <w:start w:val="1"/>
      <w:numFmt w:val="decimal"/>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2F8B19EA"/>
    <w:multiLevelType w:val="hybridMultilevel"/>
    <w:tmpl w:val="94F613B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30420C27"/>
    <w:multiLevelType w:val="hybridMultilevel"/>
    <w:tmpl w:val="E554719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2">
    <w:nsid w:val="38D90D80"/>
    <w:multiLevelType w:val="hybridMultilevel"/>
    <w:tmpl w:val="2180814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nsid w:val="3C3D3A77"/>
    <w:multiLevelType w:val="hybridMultilevel"/>
    <w:tmpl w:val="3404DE20"/>
    <w:lvl w:ilvl="0" w:tplc="9C04AAEE">
      <w:numFmt w:val="bullet"/>
      <w:lvlText w:val="-"/>
      <w:lvlJc w:val="left"/>
      <w:pPr>
        <w:ind w:left="1440" w:hanging="360"/>
      </w:pPr>
      <w:rPr>
        <w:rFonts w:ascii="Times New Roman" w:eastAsia="Times New Roman" w:hAnsi="Times New Roman"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nsid w:val="451049CD"/>
    <w:multiLevelType w:val="hybridMultilevel"/>
    <w:tmpl w:val="0928A9C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6F43394"/>
    <w:multiLevelType w:val="hybridMultilevel"/>
    <w:tmpl w:val="C09EF5F4"/>
    <w:lvl w:ilvl="0" w:tplc="08090019">
      <w:start w:val="1"/>
      <w:numFmt w:val="lowerLetter"/>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4D126A41"/>
    <w:multiLevelType w:val="hybridMultilevel"/>
    <w:tmpl w:val="4148F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51F27066"/>
    <w:multiLevelType w:val="hybridMultilevel"/>
    <w:tmpl w:val="9B80164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52706253"/>
    <w:multiLevelType w:val="hybridMultilevel"/>
    <w:tmpl w:val="8714773A"/>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B7C7E18"/>
    <w:multiLevelType w:val="hybridMultilevel"/>
    <w:tmpl w:val="597682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D083B05"/>
    <w:multiLevelType w:val="hybridMultilevel"/>
    <w:tmpl w:val="D3CCEE64"/>
    <w:lvl w:ilvl="0" w:tplc="0ECCE3F2">
      <w:start w:val="1"/>
      <w:numFmt w:val="bullet"/>
      <w:lvlText w:val="-"/>
      <w:lvlJc w:val="left"/>
      <w:pPr>
        <w:tabs>
          <w:tab w:val="num" w:pos="720"/>
        </w:tabs>
        <w:ind w:left="720" w:hanging="360"/>
      </w:pPr>
      <w:rPr>
        <w:rFonts w:ascii="Courier New" w:hAnsi="Courier New"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1">
    <w:nsid w:val="5FB4363B"/>
    <w:multiLevelType w:val="hybridMultilevel"/>
    <w:tmpl w:val="578066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3B569EC"/>
    <w:multiLevelType w:val="hybridMultilevel"/>
    <w:tmpl w:val="68E2FD24"/>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nsid w:val="649045F1"/>
    <w:multiLevelType w:val="hybridMultilevel"/>
    <w:tmpl w:val="C89A68C0"/>
    <w:lvl w:ilvl="0" w:tplc="0ECCE3F2">
      <w:start w:val="1"/>
      <w:numFmt w:val="bullet"/>
      <w:lvlText w:val="-"/>
      <w:lvlJc w:val="left"/>
      <w:pPr>
        <w:tabs>
          <w:tab w:val="num" w:pos="720"/>
        </w:tabs>
        <w:ind w:left="720" w:hanging="360"/>
      </w:pPr>
      <w:rPr>
        <w:rFonts w:ascii="Courier New" w:hAnsi="Courier New"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4">
    <w:nsid w:val="650842CC"/>
    <w:multiLevelType w:val="hybridMultilevel"/>
    <w:tmpl w:val="2180814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52E53CB"/>
    <w:multiLevelType w:val="hybridMultilevel"/>
    <w:tmpl w:val="B55C3304"/>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nsid w:val="68D8731A"/>
    <w:multiLevelType w:val="hybridMultilevel"/>
    <w:tmpl w:val="1A5801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B3220B7"/>
    <w:multiLevelType w:val="hybridMultilevel"/>
    <w:tmpl w:val="8E46B87C"/>
    <w:lvl w:ilvl="0" w:tplc="0ECCE3F2">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nsid w:val="70972865"/>
    <w:multiLevelType w:val="hybridMultilevel"/>
    <w:tmpl w:val="EE2EEF2E"/>
    <w:lvl w:ilvl="0" w:tplc="9C04AAEE">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9">
    <w:nsid w:val="7D6278C9"/>
    <w:multiLevelType w:val="hybridMultilevel"/>
    <w:tmpl w:val="27984D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E2D5467"/>
    <w:multiLevelType w:val="hybridMultilevel"/>
    <w:tmpl w:val="FBD2574C"/>
    <w:lvl w:ilvl="0" w:tplc="9C04AAEE">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EA95B16"/>
    <w:multiLevelType w:val="hybridMultilevel"/>
    <w:tmpl w:val="59B838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F2514F1"/>
    <w:multiLevelType w:val="hybridMultilevel"/>
    <w:tmpl w:val="362A76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0"/>
  </w:num>
  <w:num w:numId="2">
    <w:abstractNumId w:val="24"/>
  </w:num>
  <w:num w:numId="3">
    <w:abstractNumId w:val="1"/>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7"/>
  </w:num>
  <w:num w:numId="7">
    <w:abstractNumId w:val="32"/>
  </w:num>
  <w:num w:numId="8">
    <w:abstractNumId w:val="11"/>
  </w:num>
  <w:num w:numId="9">
    <w:abstractNumId w:val="23"/>
  </w:num>
  <w:num w:numId="10">
    <w:abstractNumId w:val="22"/>
  </w:num>
  <w:num w:numId="11">
    <w:abstractNumId w:val="20"/>
  </w:num>
  <w:num w:numId="12">
    <w:abstractNumId w:val="5"/>
  </w:num>
  <w:num w:numId="13">
    <w:abstractNumId w:val="27"/>
  </w:num>
  <w:num w:numId="14">
    <w:abstractNumId w:val="25"/>
  </w:num>
  <w:num w:numId="15">
    <w:abstractNumId w:val="16"/>
  </w:num>
  <w:num w:numId="16">
    <w:abstractNumId w:val="13"/>
  </w:num>
  <w:num w:numId="17">
    <w:abstractNumId w:val="17"/>
  </w:num>
  <w:num w:numId="18">
    <w:abstractNumId w:val="28"/>
  </w:num>
  <w:num w:numId="19">
    <w:abstractNumId w:val="18"/>
  </w:num>
  <w:num w:numId="20">
    <w:abstractNumId w:val="0"/>
  </w:num>
  <w:num w:numId="21">
    <w:abstractNumId w:val="21"/>
  </w:num>
  <w:num w:numId="22">
    <w:abstractNumId w:val="14"/>
  </w:num>
  <w:num w:numId="23">
    <w:abstractNumId w:val="10"/>
  </w:num>
  <w:num w:numId="24">
    <w:abstractNumId w:val="31"/>
  </w:num>
  <w:num w:numId="25">
    <w:abstractNumId w:val="9"/>
  </w:num>
  <w:num w:numId="26">
    <w:abstractNumId w:val="4"/>
  </w:num>
  <w:num w:numId="27">
    <w:abstractNumId w:val="3"/>
  </w:num>
  <w:num w:numId="28">
    <w:abstractNumId w:val="29"/>
  </w:num>
  <w:num w:numId="29">
    <w:abstractNumId w:val="19"/>
  </w:num>
  <w:num w:numId="30">
    <w:abstractNumId w:val="6"/>
  </w:num>
  <w:num w:numId="31">
    <w:abstractNumId w:val="12"/>
  </w:num>
  <w:num w:numId="32">
    <w:abstractNumId w:val="26"/>
  </w:num>
  <w:num w:numId="33">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44A"/>
    <w:rsid w:val="00002496"/>
    <w:rsid w:val="00002E0B"/>
    <w:rsid w:val="00003E17"/>
    <w:rsid w:val="00005840"/>
    <w:rsid w:val="00005854"/>
    <w:rsid w:val="000114B8"/>
    <w:rsid w:val="00011F1A"/>
    <w:rsid w:val="000129D1"/>
    <w:rsid w:val="00012C5B"/>
    <w:rsid w:val="00013D9E"/>
    <w:rsid w:val="00015F72"/>
    <w:rsid w:val="00022720"/>
    <w:rsid w:val="00022DD3"/>
    <w:rsid w:val="00022E59"/>
    <w:rsid w:val="000251AD"/>
    <w:rsid w:val="000259E6"/>
    <w:rsid w:val="00025B97"/>
    <w:rsid w:val="000329D2"/>
    <w:rsid w:val="000339A7"/>
    <w:rsid w:val="00033B9A"/>
    <w:rsid w:val="00034B04"/>
    <w:rsid w:val="000356C6"/>
    <w:rsid w:val="00036460"/>
    <w:rsid w:val="00037106"/>
    <w:rsid w:val="000378A7"/>
    <w:rsid w:val="00037E2E"/>
    <w:rsid w:val="000405BC"/>
    <w:rsid w:val="00041891"/>
    <w:rsid w:val="00041CDE"/>
    <w:rsid w:val="00042FC8"/>
    <w:rsid w:val="00044851"/>
    <w:rsid w:val="000453A1"/>
    <w:rsid w:val="00050177"/>
    <w:rsid w:val="000544C9"/>
    <w:rsid w:val="000550C8"/>
    <w:rsid w:val="0005645E"/>
    <w:rsid w:val="00057DB6"/>
    <w:rsid w:val="00062A93"/>
    <w:rsid w:val="0006450B"/>
    <w:rsid w:val="000645A7"/>
    <w:rsid w:val="00065052"/>
    <w:rsid w:val="00065B16"/>
    <w:rsid w:val="000661A7"/>
    <w:rsid w:val="0006642F"/>
    <w:rsid w:val="0006662F"/>
    <w:rsid w:val="000717A8"/>
    <w:rsid w:val="00071FD9"/>
    <w:rsid w:val="00072C8A"/>
    <w:rsid w:val="00075F4B"/>
    <w:rsid w:val="0008194B"/>
    <w:rsid w:val="00083A7A"/>
    <w:rsid w:val="000852EF"/>
    <w:rsid w:val="00091A33"/>
    <w:rsid w:val="000960B7"/>
    <w:rsid w:val="0009739A"/>
    <w:rsid w:val="00097D31"/>
    <w:rsid w:val="00097E88"/>
    <w:rsid w:val="000A2066"/>
    <w:rsid w:val="000A634C"/>
    <w:rsid w:val="000A6797"/>
    <w:rsid w:val="000B0742"/>
    <w:rsid w:val="000B16FB"/>
    <w:rsid w:val="000B2F18"/>
    <w:rsid w:val="000B4DA8"/>
    <w:rsid w:val="000C30C2"/>
    <w:rsid w:val="000C3A43"/>
    <w:rsid w:val="000C7EC1"/>
    <w:rsid w:val="000D2A6C"/>
    <w:rsid w:val="000D733E"/>
    <w:rsid w:val="000E1054"/>
    <w:rsid w:val="000E1345"/>
    <w:rsid w:val="000E4E74"/>
    <w:rsid w:val="000E4F1F"/>
    <w:rsid w:val="000F077C"/>
    <w:rsid w:val="000F152C"/>
    <w:rsid w:val="000F29CC"/>
    <w:rsid w:val="000F2EA5"/>
    <w:rsid w:val="000F4CE6"/>
    <w:rsid w:val="000F4F56"/>
    <w:rsid w:val="000F6D47"/>
    <w:rsid w:val="001008D4"/>
    <w:rsid w:val="00102308"/>
    <w:rsid w:val="001027FC"/>
    <w:rsid w:val="0010475F"/>
    <w:rsid w:val="00106BD2"/>
    <w:rsid w:val="00107903"/>
    <w:rsid w:val="00107D0E"/>
    <w:rsid w:val="00110541"/>
    <w:rsid w:val="00120074"/>
    <w:rsid w:val="001248BA"/>
    <w:rsid w:val="0013040E"/>
    <w:rsid w:val="00131CB4"/>
    <w:rsid w:val="0013267E"/>
    <w:rsid w:val="001327C7"/>
    <w:rsid w:val="00132A54"/>
    <w:rsid w:val="00134FE4"/>
    <w:rsid w:val="0013556D"/>
    <w:rsid w:val="00136DBA"/>
    <w:rsid w:val="00137C8E"/>
    <w:rsid w:val="00140D66"/>
    <w:rsid w:val="00143DD0"/>
    <w:rsid w:val="00144445"/>
    <w:rsid w:val="00145D10"/>
    <w:rsid w:val="001469E7"/>
    <w:rsid w:val="00147C71"/>
    <w:rsid w:val="00151E31"/>
    <w:rsid w:val="00154ACE"/>
    <w:rsid w:val="00156783"/>
    <w:rsid w:val="00160740"/>
    <w:rsid w:val="00161921"/>
    <w:rsid w:val="001627EE"/>
    <w:rsid w:val="00162853"/>
    <w:rsid w:val="00166D9C"/>
    <w:rsid w:val="00167259"/>
    <w:rsid w:val="0017086B"/>
    <w:rsid w:val="00174BF0"/>
    <w:rsid w:val="001763EC"/>
    <w:rsid w:val="00176673"/>
    <w:rsid w:val="00176873"/>
    <w:rsid w:val="0018034E"/>
    <w:rsid w:val="00181CF4"/>
    <w:rsid w:val="0018272D"/>
    <w:rsid w:val="001873F3"/>
    <w:rsid w:val="00187898"/>
    <w:rsid w:val="00191250"/>
    <w:rsid w:val="00191862"/>
    <w:rsid w:val="00192DF6"/>
    <w:rsid w:val="001937A9"/>
    <w:rsid w:val="00196058"/>
    <w:rsid w:val="00196821"/>
    <w:rsid w:val="001971BB"/>
    <w:rsid w:val="00197E48"/>
    <w:rsid w:val="001A3E22"/>
    <w:rsid w:val="001A69A4"/>
    <w:rsid w:val="001B0862"/>
    <w:rsid w:val="001B3844"/>
    <w:rsid w:val="001B3CD0"/>
    <w:rsid w:val="001C0E37"/>
    <w:rsid w:val="001C1DBE"/>
    <w:rsid w:val="001C3780"/>
    <w:rsid w:val="001C7323"/>
    <w:rsid w:val="001D328D"/>
    <w:rsid w:val="001D643D"/>
    <w:rsid w:val="001D6FAB"/>
    <w:rsid w:val="001D7414"/>
    <w:rsid w:val="001F02BD"/>
    <w:rsid w:val="001F2C7D"/>
    <w:rsid w:val="001F2CCF"/>
    <w:rsid w:val="001F5186"/>
    <w:rsid w:val="001F53DA"/>
    <w:rsid w:val="001F5691"/>
    <w:rsid w:val="001F5DD3"/>
    <w:rsid w:val="001F6B5B"/>
    <w:rsid w:val="001F7D30"/>
    <w:rsid w:val="00200310"/>
    <w:rsid w:val="00200FB8"/>
    <w:rsid w:val="002017B3"/>
    <w:rsid w:val="00202823"/>
    <w:rsid w:val="0020431E"/>
    <w:rsid w:val="00207727"/>
    <w:rsid w:val="002146C6"/>
    <w:rsid w:val="00217A17"/>
    <w:rsid w:val="002211DB"/>
    <w:rsid w:val="00221374"/>
    <w:rsid w:val="00222760"/>
    <w:rsid w:val="0022591C"/>
    <w:rsid w:val="00226A7A"/>
    <w:rsid w:val="00230D32"/>
    <w:rsid w:val="0024089C"/>
    <w:rsid w:val="002440EC"/>
    <w:rsid w:val="0024436C"/>
    <w:rsid w:val="00250309"/>
    <w:rsid w:val="00251A36"/>
    <w:rsid w:val="00251B4A"/>
    <w:rsid w:val="0025398F"/>
    <w:rsid w:val="002549D2"/>
    <w:rsid w:val="00260EB8"/>
    <w:rsid w:val="002623E9"/>
    <w:rsid w:val="0026289F"/>
    <w:rsid w:val="00264E7F"/>
    <w:rsid w:val="00265B04"/>
    <w:rsid w:val="00266103"/>
    <w:rsid w:val="0027433A"/>
    <w:rsid w:val="00274E15"/>
    <w:rsid w:val="0028193E"/>
    <w:rsid w:val="0028362D"/>
    <w:rsid w:val="002862A8"/>
    <w:rsid w:val="00293A87"/>
    <w:rsid w:val="00296BAA"/>
    <w:rsid w:val="00297463"/>
    <w:rsid w:val="002A0555"/>
    <w:rsid w:val="002A16DE"/>
    <w:rsid w:val="002A3C6C"/>
    <w:rsid w:val="002A7048"/>
    <w:rsid w:val="002A71E8"/>
    <w:rsid w:val="002B0D7F"/>
    <w:rsid w:val="002B2D8A"/>
    <w:rsid w:val="002B4CD0"/>
    <w:rsid w:val="002B693D"/>
    <w:rsid w:val="002C13C4"/>
    <w:rsid w:val="002C2256"/>
    <w:rsid w:val="002C35D1"/>
    <w:rsid w:val="002C3C72"/>
    <w:rsid w:val="002C4599"/>
    <w:rsid w:val="002C652A"/>
    <w:rsid w:val="002C707E"/>
    <w:rsid w:val="002D0FCF"/>
    <w:rsid w:val="002D55EB"/>
    <w:rsid w:val="002D5655"/>
    <w:rsid w:val="002D569F"/>
    <w:rsid w:val="002D6FB5"/>
    <w:rsid w:val="002D78B0"/>
    <w:rsid w:val="002E0C94"/>
    <w:rsid w:val="002E0FDE"/>
    <w:rsid w:val="002E29EB"/>
    <w:rsid w:val="002E3893"/>
    <w:rsid w:val="002E4710"/>
    <w:rsid w:val="002E527C"/>
    <w:rsid w:val="002E53C3"/>
    <w:rsid w:val="002E66CE"/>
    <w:rsid w:val="002E70CB"/>
    <w:rsid w:val="002F1453"/>
    <w:rsid w:val="002F1BB4"/>
    <w:rsid w:val="002F1E39"/>
    <w:rsid w:val="002F20AF"/>
    <w:rsid w:val="002F2FA4"/>
    <w:rsid w:val="002F34B5"/>
    <w:rsid w:val="002F5324"/>
    <w:rsid w:val="002F5995"/>
    <w:rsid w:val="003028E4"/>
    <w:rsid w:val="00303A09"/>
    <w:rsid w:val="00304775"/>
    <w:rsid w:val="00306CEE"/>
    <w:rsid w:val="00307A83"/>
    <w:rsid w:val="00310042"/>
    <w:rsid w:val="00313779"/>
    <w:rsid w:val="00313C5B"/>
    <w:rsid w:val="00315331"/>
    <w:rsid w:val="00315AC4"/>
    <w:rsid w:val="00315FF4"/>
    <w:rsid w:val="00316DDE"/>
    <w:rsid w:val="00320A2F"/>
    <w:rsid w:val="00320E77"/>
    <w:rsid w:val="0032133E"/>
    <w:rsid w:val="00323FDC"/>
    <w:rsid w:val="003247D0"/>
    <w:rsid w:val="0032655B"/>
    <w:rsid w:val="00331500"/>
    <w:rsid w:val="0033308D"/>
    <w:rsid w:val="0033533B"/>
    <w:rsid w:val="00340B7D"/>
    <w:rsid w:val="003446EE"/>
    <w:rsid w:val="003463F2"/>
    <w:rsid w:val="003475F0"/>
    <w:rsid w:val="00351690"/>
    <w:rsid w:val="003549ED"/>
    <w:rsid w:val="00355A4B"/>
    <w:rsid w:val="00355E0B"/>
    <w:rsid w:val="00356EA9"/>
    <w:rsid w:val="00361FB8"/>
    <w:rsid w:val="00363165"/>
    <w:rsid w:val="00364A6B"/>
    <w:rsid w:val="00364B9C"/>
    <w:rsid w:val="00365C30"/>
    <w:rsid w:val="003665F9"/>
    <w:rsid w:val="00371F8D"/>
    <w:rsid w:val="0037343D"/>
    <w:rsid w:val="00375929"/>
    <w:rsid w:val="00376955"/>
    <w:rsid w:val="0038014D"/>
    <w:rsid w:val="0038037D"/>
    <w:rsid w:val="00380678"/>
    <w:rsid w:val="003823B8"/>
    <w:rsid w:val="003826B0"/>
    <w:rsid w:val="00383A2C"/>
    <w:rsid w:val="003841A4"/>
    <w:rsid w:val="003870C3"/>
    <w:rsid w:val="003902C3"/>
    <w:rsid w:val="0039144A"/>
    <w:rsid w:val="00392F59"/>
    <w:rsid w:val="00393486"/>
    <w:rsid w:val="0039439A"/>
    <w:rsid w:val="0039573C"/>
    <w:rsid w:val="003A1128"/>
    <w:rsid w:val="003A1898"/>
    <w:rsid w:val="003A472D"/>
    <w:rsid w:val="003A48FE"/>
    <w:rsid w:val="003A6519"/>
    <w:rsid w:val="003A6C3D"/>
    <w:rsid w:val="003B2FD8"/>
    <w:rsid w:val="003B3632"/>
    <w:rsid w:val="003B4A2B"/>
    <w:rsid w:val="003B5DCA"/>
    <w:rsid w:val="003B5F68"/>
    <w:rsid w:val="003B74ED"/>
    <w:rsid w:val="003C0818"/>
    <w:rsid w:val="003C3191"/>
    <w:rsid w:val="003C5C37"/>
    <w:rsid w:val="003D1209"/>
    <w:rsid w:val="003D3431"/>
    <w:rsid w:val="003D467F"/>
    <w:rsid w:val="003D5041"/>
    <w:rsid w:val="003D5F6E"/>
    <w:rsid w:val="003D781E"/>
    <w:rsid w:val="003E0BD4"/>
    <w:rsid w:val="003E158C"/>
    <w:rsid w:val="003E1A3E"/>
    <w:rsid w:val="003E3F95"/>
    <w:rsid w:val="003E5251"/>
    <w:rsid w:val="003E786D"/>
    <w:rsid w:val="003E7D72"/>
    <w:rsid w:val="003E7DD8"/>
    <w:rsid w:val="003F051E"/>
    <w:rsid w:val="003F6F53"/>
    <w:rsid w:val="004064B6"/>
    <w:rsid w:val="00415835"/>
    <w:rsid w:val="0041679E"/>
    <w:rsid w:val="0041739C"/>
    <w:rsid w:val="004175F8"/>
    <w:rsid w:val="00420D72"/>
    <w:rsid w:val="004210D2"/>
    <w:rsid w:val="00421D81"/>
    <w:rsid w:val="004226FF"/>
    <w:rsid w:val="0042290F"/>
    <w:rsid w:val="004240A9"/>
    <w:rsid w:val="00425646"/>
    <w:rsid w:val="00431B2E"/>
    <w:rsid w:val="00432267"/>
    <w:rsid w:val="00433ACB"/>
    <w:rsid w:val="0043424A"/>
    <w:rsid w:val="00434B62"/>
    <w:rsid w:val="0043562E"/>
    <w:rsid w:val="00437663"/>
    <w:rsid w:val="00440FBA"/>
    <w:rsid w:val="004461F0"/>
    <w:rsid w:val="0045136E"/>
    <w:rsid w:val="004517C9"/>
    <w:rsid w:val="0045229B"/>
    <w:rsid w:val="0045305E"/>
    <w:rsid w:val="0045353D"/>
    <w:rsid w:val="00453BEC"/>
    <w:rsid w:val="00453D61"/>
    <w:rsid w:val="00454675"/>
    <w:rsid w:val="00455107"/>
    <w:rsid w:val="004555AD"/>
    <w:rsid w:val="004561E9"/>
    <w:rsid w:val="00465167"/>
    <w:rsid w:val="00465187"/>
    <w:rsid w:val="00465F42"/>
    <w:rsid w:val="00472189"/>
    <w:rsid w:val="00473A17"/>
    <w:rsid w:val="004751C8"/>
    <w:rsid w:val="004767FF"/>
    <w:rsid w:val="004819F1"/>
    <w:rsid w:val="00481D2C"/>
    <w:rsid w:val="004831E6"/>
    <w:rsid w:val="00483529"/>
    <w:rsid w:val="0048522E"/>
    <w:rsid w:val="004902FB"/>
    <w:rsid w:val="004914E8"/>
    <w:rsid w:val="004949B3"/>
    <w:rsid w:val="0049603F"/>
    <w:rsid w:val="00496401"/>
    <w:rsid w:val="00496CFB"/>
    <w:rsid w:val="004A1A5D"/>
    <w:rsid w:val="004A3C44"/>
    <w:rsid w:val="004A40DC"/>
    <w:rsid w:val="004A448D"/>
    <w:rsid w:val="004B5BF7"/>
    <w:rsid w:val="004B630C"/>
    <w:rsid w:val="004C25AF"/>
    <w:rsid w:val="004C2E8E"/>
    <w:rsid w:val="004C2F4B"/>
    <w:rsid w:val="004D07F9"/>
    <w:rsid w:val="004D10E6"/>
    <w:rsid w:val="004D1B07"/>
    <w:rsid w:val="004D2E6A"/>
    <w:rsid w:val="004D3B49"/>
    <w:rsid w:val="004D491B"/>
    <w:rsid w:val="004D6D5F"/>
    <w:rsid w:val="004D7F17"/>
    <w:rsid w:val="004E222C"/>
    <w:rsid w:val="004E380A"/>
    <w:rsid w:val="004E7999"/>
    <w:rsid w:val="004F343E"/>
    <w:rsid w:val="004F483F"/>
    <w:rsid w:val="004F69C0"/>
    <w:rsid w:val="004F70D3"/>
    <w:rsid w:val="005001E4"/>
    <w:rsid w:val="00500C0F"/>
    <w:rsid w:val="0050375B"/>
    <w:rsid w:val="00503F5A"/>
    <w:rsid w:val="005050D3"/>
    <w:rsid w:val="00506DDE"/>
    <w:rsid w:val="00507253"/>
    <w:rsid w:val="005209C4"/>
    <w:rsid w:val="00520B6A"/>
    <w:rsid w:val="00520D81"/>
    <w:rsid w:val="00522949"/>
    <w:rsid w:val="00525F81"/>
    <w:rsid w:val="00527203"/>
    <w:rsid w:val="00532078"/>
    <w:rsid w:val="00533307"/>
    <w:rsid w:val="00533DF6"/>
    <w:rsid w:val="0053552C"/>
    <w:rsid w:val="00536741"/>
    <w:rsid w:val="005421BC"/>
    <w:rsid w:val="005425E2"/>
    <w:rsid w:val="00543194"/>
    <w:rsid w:val="0054758B"/>
    <w:rsid w:val="00550147"/>
    <w:rsid w:val="005519E5"/>
    <w:rsid w:val="00551B3A"/>
    <w:rsid w:val="00552790"/>
    <w:rsid w:val="00552CA0"/>
    <w:rsid w:val="00556BA0"/>
    <w:rsid w:val="00557307"/>
    <w:rsid w:val="0056166B"/>
    <w:rsid w:val="00564840"/>
    <w:rsid w:val="005650D3"/>
    <w:rsid w:val="00567121"/>
    <w:rsid w:val="0057017B"/>
    <w:rsid w:val="005714D2"/>
    <w:rsid w:val="00571617"/>
    <w:rsid w:val="005717C2"/>
    <w:rsid w:val="005728C1"/>
    <w:rsid w:val="00582163"/>
    <w:rsid w:val="00584744"/>
    <w:rsid w:val="00586AC3"/>
    <w:rsid w:val="00590141"/>
    <w:rsid w:val="00593F29"/>
    <w:rsid w:val="00597195"/>
    <w:rsid w:val="005A6730"/>
    <w:rsid w:val="005A72D8"/>
    <w:rsid w:val="005B1A02"/>
    <w:rsid w:val="005B38BD"/>
    <w:rsid w:val="005B42CA"/>
    <w:rsid w:val="005B4DE6"/>
    <w:rsid w:val="005B55FB"/>
    <w:rsid w:val="005B7ECD"/>
    <w:rsid w:val="005C3876"/>
    <w:rsid w:val="005C5BAA"/>
    <w:rsid w:val="005D2C02"/>
    <w:rsid w:val="005D442C"/>
    <w:rsid w:val="005D4A0F"/>
    <w:rsid w:val="005D51F7"/>
    <w:rsid w:val="005D7119"/>
    <w:rsid w:val="005E0709"/>
    <w:rsid w:val="005E0C01"/>
    <w:rsid w:val="005E0CD6"/>
    <w:rsid w:val="005E45BC"/>
    <w:rsid w:val="005E6000"/>
    <w:rsid w:val="005E6F41"/>
    <w:rsid w:val="005F0016"/>
    <w:rsid w:val="005F0FA1"/>
    <w:rsid w:val="005F6E5C"/>
    <w:rsid w:val="005F6EAB"/>
    <w:rsid w:val="00603D72"/>
    <w:rsid w:val="00604147"/>
    <w:rsid w:val="00607D63"/>
    <w:rsid w:val="006122D5"/>
    <w:rsid w:val="0061263B"/>
    <w:rsid w:val="006126EE"/>
    <w:rsid w:val="006128F0"/>
    <w:rsid w:val="00612F7B"/>
    <w:rsid w:val="00615580"/>
    <w:rsid w:val="006166C6"/>
    <w:rsid w:val="006168CA"/>
    <w:rsid w:val="006171C9"/>
    <w:rsid w:val="00627B39"/>
    <w:rsid w:val="00630134"/>
    <w:rsid w:val="006326AC"/>
    <w:rsid w:val="00635447"/>
    <w:rsid w:val="00637C10"/>
    <w:rsid w:val="00637C61"/>
    <w:rsid w:val="00637CFD"/>
    <w:rsid w:val="00640E83"/>
    <w:rsid w:val="0064144C"/>
    <w:rsid w:val="00644B4F"/>
    <w:rsid w:val="00654D45"/>
    <w:rsid w:val="00656533"/>
    <w:rsid w:val="0065657C"/>
    <w:rsid w:val="0065728A"/>
    <w:rsid w:val="00657FCB"/>
    <w:rsid w:val="006600C7"/>
    <w:rsid w:val="006623EA"/>
    <w:rsid w:val="00662D60"/>
    <w:rsid w:val="006640D2"/>
    <w:rsid w:val="00664657"/>
    <w:rsid w:val="0066545A"/>
    <w:rsid w:val="00666A33"/>
    <w:rsid w:val="0066777D"/>
    <w:rsid w:val="00671450"/>
    <w:rsid w:val="00671CBE"/>
    <w:rsid w:val="00674132"/>
    <w:rsid w:val="006752FB"/>
    <w:rsid w:val="00676B70"/>
    <w:rsid w:val="00683743"/>
    <w:rsid w:val="00685970"/>
    <w:rsid w:val="00690107"/>
    <w:rsid w:val="00690F2E"/>
    <w:rsid w:val="006912B4"/>
    <w:rsid w:val="00693E98"/>
    <w:rsid w:val="00694CF2"/>
    <w:rsid w:val="006A2C11"/>
    <w:rsid w:val="006A3598"/>
    <w:rsid w:val="006A6FA0"/>
    <w:rsid w:val="006A7E9A"/>
    <w:rsid w:val="006B0E32"/>
    <w:rsid w:val="006B1F6A"/>
    <w:rsid w:val="006B2E76"/>
    <w:rsid w:val="006B2F89"/>
    <w:rsid w:val="006B313D"/>
    <w:rsid w:val="006B40A2"/>
    <w:rsid w:val="006B4B8F"/>
    <w:rsid w:val="006B7A41"/>
    <w:rsid w:val="006C04AD"/>
    <w:rsid w:val="006C30C6"/>
    <w:rsid w:val="006C3690"/>
    <w:rsid w:val="006C4880"/>
    <w:rsid w:val="006C71F6"/>
    <w:rsid w:val="006D2BF9"/>
    <w:rsid w:val="006D5628"/>
    <w:rsid w:val="006E1081"/>
    <w:rsid w:val="006E1469"/>
    <w:rsid w:val="006F1AE8"/>
    <w:rsid w:val="006F2145"/>
    <w:rsid w:val="006F257A"/>
    <w:rsid w:val="006F3DA2"/>
    <w:rsid w:val="006F4835"/>
    <w:rsid w:val="006F5ECC"/>
    <w:rsid w:val="006F78AD"/>
    <w:rsid w:val="00702FBF"/>
    <w:rsid w:val="007114AD"/>
    <w:rsid w:val="00712BCB"/>
    <w:rsid w:val="007158E8"/>
    <w:rsid w:val="00716B77"/>
    <w:rsid w:val="007201D5"/>
    <w:rsid w:val="00720220"/>
    <w:rsid w:val="007244B1"/>
    <w:rsid w:val="00726E3C"/>
    <w:rsid w:val="007311DA"/>
    <w:rsid w:val="00731C59"/>
    <w:rsid w:val="00732053"/>
    <w:rsid w:val="00732883"/>
    <w:rsid w:val="0073499D"/>
    <w:rsid w:val="007433AF"/>
    <w:rsid w:val="00744B92"/>
    <w:rsid w:val="007472F9"/>
    <w:rsid w:val="0075038A"/>
    <w:rsid w:val="00750C1F"/>
    <w:rsid w:val="007525F8"/>
    <w:rsid w:val="00752D4E"/>
    <w:rsid w:val="00753374"/>
    <w:rsid w:val="00761A9A"/>
    <w:rsid w:val="00761AAB"/>
    <w:rsid w:val="00772269"/>
    <w:rsid w:val="00772682"/>
    <w:rsid w:val="00772D25"/>
    <w:rsid w:val="0077336F"/>
    <w:rsid w:val="00773885"/>
    <w:rsid w:val="00780D14"/>
    <w:rsid w:val="00782F36"/>
    <w:rsid w:val="00784ED5"/>
    <w:rsid w:val="0078602E"/>
    <w:rsid w:val="00790ED6"/>
    <w:rsid w:val="00791D55"/>
    <w:rsid w:val="00791FBA"/>
    <w:rsid w:val="007941C2"/>
    <w:rsid w:val="0079700B"/>
    <w:rsid w:val="007A00C6"/>
    <w:rsid w:val="007A061D"/>
    <w:rsid w:val="007A2F0A"/>
    <w:rsid w:val="007A3969"/>
    <w:rsid w:val="007A3F3F"/>
    <w:rsid w:val="007A54ED"/>
    <w:rsid w:val="007B2C24"/>
    <w:rsid w:val="007B3707"/>
    <w:rsid w:val="007B4BFC"/>
    <w:rsid w:val="007B610C"/>
    <w:rsid w:val="007B626E"/>
    <w:rsid w:val="007B6778"/>
    <w:rsid w:val="007C0015"/>
    <w:rsid w:val="007C5210"/>
    <w:rsid w:val="007C53DB"/>
    <w:rsid w:val="007D0C19"/>
    <w:rsid w:val="007D226F"/>
    <w:rsid w:val="007D402E"/>
    <w:rsid w:val="007D5472"/>
    <w:rsid w:val="007D7D84"/>
    <w:rsid w:val="007E1460"/>
    <w:rsid w:val="007E2004"/>
    <w:rsid w:val="007E6B9E"/>
    <w:rsid w:val="007F2DB2"/>
    <w:rsid w:val="007F2FA3"/>
    <w:rsid w:val="007F44D5"/>
    <w:rsid w:val="0080095B"/>
    <w:rsid w:val="00804B53"/>
    <w:rsid w:val="0081137C"/>
    <w:rsid w:val="00811AAB"/>
    <w:rsid w:val="00816754"/>
    <w:rsid w:val="0082372C"/>
    <w:rsid w:val="0082703E"/>
    <w:rsid w:val="008275C2"/>
    <w:rsid w:val="00827B0B"/>
    <w:rsid w:val="008338E8"/>
    <w:rsid w:val="00836165"/>
    <w:rsid w:val="00840866"/>
    <w:rsid w:val="00840E27"/>
    <w:rsid w:val="00844242"/>
    <w:rsid w:val="0084514B"/>
    <w:rsid w:val="008467F9"/>
    <w:rsid w:val="00851E24"/>
    <w:rsid w:val="008523EC"/>
    <w:rsid w:val="008563C0"/>
    <w:rsid w:val="00857650"/>
    <w:rsid w:val="00863FA0"/>
    <w:rsid w:val="008642E8"/>
    <w:rsid w:val="008653EF"/>
    <w:rsid w:val="008746E6"/>
    <w:rsid w:val="00875051"/>
    <w:rsid w:val="00877B9A"/>
    <w:rsid w:val="00880E0A"/>
    <w:rsid w:val="00881B62"/>
    <w:rsid w:val="00881D3E"/>
    <w:rsid w:val="00881F5F"/>
    <w:rsid w:val="008836BE"/>
    <w:rsid w:val="008845AF"/>
    <w:rsid w:val="00886547"/>
    <w:rsid w:val="00886D86"/>
    <w:rsid w:val="00891588"/>
    <w:rsid w:val="00893DC4"/>
    <w:rsid w:val="008976BD"/>
    <w:rsid w:val="008A556D"/>
    <w:rsid w:val="008A5605"/>
    <w:rsid w:val="008A6B1C"/>
    <w:rsid w:val="008A73C9"/>
    <w:rsid w:val="008B0843"/>
    <w:rsid w:val="008B4E0C"/>
    <w:rsid w:val="008C4052"/>
    <w:rsid w:val="008C4B13"/>
    <w:rsid w:val="008C6EB9"/>
    <w:rsid w:val="008D028F"/>
    <w:rsid w:val="008D09B0"/>
    <w:rsid w:val="008D10E2"/>
    <w:rsid w:val="008D6113"/>
    <w:rsid w:val="008D7D1F"/>
    <w:rsid w:val="008E1C4C"/>
    <w:rsid w:val="008E2ACF"/>
    <w:rsid w:val="008E48DA"/>
    <w:rsid w:val="008E4F09"/>
    <w:rsid w:val="008E65F2"/>
    <w:rsid w:val="008F0715"/>
    <w:rsid w:val="008F16AC"/>
    <w:rsid w:val="008F1805"/>
    <w:rsid w:val="008F2BEA"/>
    <w:rsid w:val="008F5385"/>
    <w:rsid w:val="008F6243"/>
    <w:rsid w:val="00901FF5"/>
    <w:rsid w:val="00902008"/>
    <w:rsid w:val="0090271F"/>
    <w:rsid w:val="00903949"/>
    <w:rsid w:val="00903E80"/>
    <w:rsid w:val="00907803"/>
    <w:rsid w:val="00910304"/>
    <w:rsid w:val="0091080F"/>
    <w:rsid w:val="00910F25"/>
    <w:rsid w:val="00911B2E"/>
    <w:rsid w:val="009121EB"/>
    <w:rsid w:val="00914174"/>
    <w:rsid w:val="00914E00"/>
    <w:rsid w:val="009157A8"/>
    <w:rsid w:val="00915E1A"/>
    <w:rsid w:val="00916D78"/>
    <w:rsid w:val="00917FF0"/>
    <w:rsid w:val="00921326"/>
    <w:rsid w:val="009223C1"/>
    <w:rsid w:val="009241E3"/>
    <w:rsid w:val="009258AC"/>
    <w:rsid w:val="00925BDD"/>
    <w:rsid w:val="00930104"/>
    <w:rsid w:val="0093305F"/>
    <w:rsid w:val="00933DC2"/>
    <w:rsid w:val="00934EA9"/>
    <w:rsid w:val="009375B4"/>
    <w:rsid w:val="0094297C"/>
    <w:rsid w:val="00943F91"/>
    <w:rsid w:val="00944D8D"/>
    <w:rsid w:val="009457FD"/>
    <w:rsid w:val="00946A03"/>
    <w:rsid w:val="00947DD8"/>
    <w:rsid w:val="00950372"/>
    <w:rsid w:val="00951818"/>
    <w:rsid w:val="0095578B"/>
    <w:rsid w:val="0096031C"/>
    <w:rsid w:val="009611A7"/>
    <w:rsid w:val="0096441F"/>
    <w:rsid w:val="009647B5"/>
    <w:rsid w:val="00966B92"/>
    <w:rsid w:val="009718DE"/>
    <w:rsid w:val="0097290D"/>
    <w:rsid w:val="00972AAD"/>
    <w:rsid w:val="00980F73"/>
    <w:rsid w:val="0098237A"/>
    <w:rsid w:val="00982FD5"/>
    <w:rsid w:val="00985874"/>
    <w:rsid w:val="0099222E"/>
    <w:rsid w:val="009937CE"/>
    <w:rsid w:val="00993D60"/>
    <w:rsid w:val="0099406D"/>
    <w:rsid w:val="009943AC"/>
    <w:rsid w:val="009A0554"/>
    <w:rsid w:val="009A0DC6"/>
    <w:rsid w:val="009A43E6"/>
    <w:rsid w:val="009A45EF"/>
    <w:rsid w:val="009A69D1"/>
    <w:rsid w:val="009A6C3F"/>
    <w:rsid w:val="009A76D3"/>
    <w:rsid w:val="009B4498"/>
    <w:rsid w:val="009B5A29"/>
    <w:rsid w:val="009B5FF4"/>
    <w:rsid w:val="009B7143"/>
    <w:rsid w:val="009C200D"/>
    <w:rsid w:val="009C32F7"/>
    <w:rsid w:val="009C5490"/>
    <w:rsid w:val="009C5574"/>
    <w:rsid w:val="009C5AB6"/>
    <w:rsid w:val="009C7AF9"/>
    <w:rsid w:val="009D0F66"/>
    <w:rsid w:val="009D3824"/>
    <w:rsid w:val="009D6227"/>
    <w:rsid w:val="009D6D48"/>
    <w:rsid w:val="009E066C"/>
    <w:rsid w:val="009E086E"/>
    <w:rsid w:val="009E1E90"/>
    <w:rsid w:val="009E4E9C"/>
    <w:rsid w:val="009F0EAC"/>
    <w:rsid w:val="009F51D6"/>
    <w:rsid w:val="009F5ED2"/>
    <w:rsid w:val="009F7C64"/>
    <w:rsid w:val="009F7CB0"/>
    <w:rsid w:val="00A01EB6"/>
    <w:rsid w:val="00A072A3"/>
    <w:rsid w:val="00A12AA9"/>
    <w:rsid w:val="00A13051"/>
    <w:rsid w:val="00A14A28"/>
    <w:rsid w:val="00A14E85"/>
    <w:rsid w:val="00A160E0"/>
    <w:rsid w:val="00A2179B"/>
    <w:rsid w:val="00A2558C"/>
    <w:rsid w:val="00A2567A"/>
    <w:rsid w:val="00A30423"/>
    <w:rsid w:val="00A307AE"/>
    <w:rsid w:val="00A30B64"/>
    <w:rsid w:val="00A34647"/>
    <w:rsid w:val="00A35E86"/>
    <w:rsid w:val="00A42954"/>
    <w:rsid w:val="00A42EBF"/>
    <w:rsid w:val="00A43196"/>
    <w:rsid w:val="00A4364D"/>
    <w:rsid w:val="00A441F1"/>
    <w:rsid w:val="00A46B8C"/>
    <w:rsid w:val="00A47DAE"/>
    <w:rsid w:val="00A52658"/>
    <w:rsid w:val="00A5758B"/>
    <w:rsid w:val="00A60E98"/>
    <w:rsid w:val="00A7178B"/>
    <w:rsid w:val="00A7195F"/>
    <w:rsid w:val="00A74FD9"/>
    <w:rsid w:val="00A80661"/>
    <w:rsid w:val="00A81958"/>
    <w:rsid w:val="00A8394F"/>
    <w:rsid w:val="00A847A2"/>
    <w:rsid w:val="00A852A8"/>
    <w:rsid w:val="00A87109"/>
    <w:rsid w:val="00A8778E"/>
    <w:rsid w:val="00A95181"/>
    <w:rsid w:val="00A97F33"/>
    <w:rsid w:val="00AA41C8"/>
    <w:rsid w:val="00AA58BD"/>
    <w:rsid w:val="00AB175B"/>
    <w:rsid w:val="00AB611F"/>
    <w:rsid w:val="00AB65A9"/>
    <w:rsid w:val="00AB7FA7"/>
    <w:rsid w:val="00AC08A8"/>
    <w:rsid w:val="00AC1A55"/>
    <w:rsid w:val="00AC1AEC"/>
    <w:rsid w:val="00AC37DC"/>
    <w:rsid w:val="00AC424F"/>
    <w:rsid w:val="00AC4AC7"/>
    <w:rsid w:val="00AC6ED5"/>
    <w:rsid w:val="00AD0386"/>
    <w:rsid w:val="00AD0D0B"/>
    <w:rsid w:val="00AD1F11"/>
    <w:rsid w:val="00AD55E4"/>
    <w:rsid w:val="00AD5F09"/>
    <w:rsid w:val="00AD68B5"/>
    <w:rsid w:val="00AE0990"/>
    <w:rsid w:val="00AE19BE"/>
    <w:rsid w:val="00AE4B9E"/>
    <w:rsid w:val="00AE59F3"/>
    <w:rsid w:val="00AE6729"/>
    <w:rsid w:val="00AF4421"/>
    <w:rsid w:val="00AF64AE"/>
    <w:rsid w:val="00AF6E2E"/>
    <w:rsid w:val="00B00074"/>
    <w:rsid w:val="00B01F5F"/>
    <w:rsid w:val="00B07F69"/>
    <w:rsid w:val="00B17FD6"/>
    <w:rsid w:val="00B2195D"/>
    <w:rsid w:val="00B231BD"/>
    <w:rsid w:val="00B264D8"/>
    <w:rsid w:val="00B3069C"/>
    <w:rsid w:val="00B32EA0"/>
    <w:rsid w:val="00B34A8A"/>
    <w:rsid w:val="00B366E9"/>
    <w:rsid w:val="00B36C8F"/>
    <w:rsid w:val="00B36F0E"/>
    <w:rsid w:val="00B40316"/>
    <w:rsid w:val="00B405B2"/>
    <w:rsid w:val="00B415E3"/>
    <w:rsid w:val="00B452B5"/>
    <w:rsid w:val="00B46933"/>
    <w:rsid w:val="00B46FD0"/>
    <w:rsid w:val="00B50003"/>
    <w:rsid w:val="00B50194"/>
    <w:rsid w:val="00B511E7"/>
    <w:rsid w:val="00B52832"/>
    <w:rsid w:val="00B52B41"/>
    <w:rsid w:val="00B52D8D"/>
    <w:rsid w:val="00B52FA2"/>
    <w:rsid w:val="00B55C10"/>
    <w:rsid w:val="00B56BF3"/>
    <w:rsid w:val="00B57D9F"/>
    <w:rsid w:val="00B60B41"/>
    <w:rsid w:val="00B61E8C"/>
    <w:rsid w:val="00B62DD7"/>
    <w:rsid w:val="00B63B86"/>
    <w:rsid w:val="00B7227D"/>
    <w:rsid w:val="00B7402C"/>
    <w:rsid w:val="00B754F1"/>
    <w:rsid w:val="00B80D55"/>
    <w:rsid w:val="00B81034"/>
    <w:rsid w:val="00B81A85"/>
    <w:rsid w:val="00B83C61"/>
    <w:rsid w:val="00B86FDD"/>
    <w:rsid w:val="00B9218D"/>
    <w:rsid w:val="00B93B21"/>
    <w:rsid w:val="00B9485A"/>
    <w:rsid w:val="00B95A89"/>
    <w:rsid w:val="00BA2C74"/>
    <w:rsid w:val="00BA3D7E"/>
    <w:rsid w:val="00BA4203"/>
    <w:rsid w:val="00BA5C58"/>
    <w:rsid w:val="00BB100B"/>
    <w:rsid w:val="00BB1459"/>
    <w:rsid w:val="00BB1E28"/>
    <w:rsid w:val="00BB201D"/>
    <w:rsid w:val="00BB3424"/>
    <w:rsid w:val="00BB6AD0"/>
    <w:rsid w:val="00BC0DA7"/>
    <w:rsid w:val="00BC1A4E"/>
    <w:rsid w:val="00BC1CA9"/>
    <w:rsid w:val="00BC2B32"/>
    <w:rsid w:val="00BC44B6"/>
    <w:rsid w:val="00BC53FF"/>
    <w:rsid w:val="00BD054A"/>
    <w:rsid w:val="00BD3733"/>
    <w:rsid w:val="00BD483D"/>
    <w:rsid w:val="00BD4B2E"/>
    <w:rsid w:val="00BE313E"/>
    <w:rsid w:val="00BE36F3"/>
    <w:rsid w:val="00BE4854"/>
    <w:rsid w:val="00BF02D9"/>
    <w:rsid w:val="00BF03BB"/>
    <w:rsid w:val="00BF06F9"/>
    <w:rsid w:val="00BF1CF7"/>
    <w:rsid w:val="00BF318A"/>
    <w:rsid w:val="00BF3AF3"/>
    <w:rsid w:val="00BF46CC"/>
    <w:rsid w:val="00BF5C5F"/>
    <w:rsid w:val="00C024FF"/>
    <w:rsid w:val="00C02598"/>
    <w:rsid w:val="00C06212"/>
    <w:rsid w:val="00C12C98"/>
    <w:rsid w:val="00C12CA1"/>
    <w:rsid w:val="00C12D7E"/>
    <w:rsid w:val="00C14134"/>
    <w:rsid w:val="00C15C17"/>
    <w:rsid w:val="00C202F6"/>
    <w:rsid w:val="00C233D8"/>
    <w:rsid w:val="00C23922"/>
    <w:rsid w:val="00C23BE0"/>
    <w:rsid w:val="00C24268"/>
    <w:rsid w:val="00C254B4"/>
    <w:rsid w:val="00C330F1"/>
    <w:rsid w:val="00C33B40"/>
    <w:rsid w:val="00C34736"/>
    <w:rsid w:val="00C34DA4"/>
    <w:rsid w:val="00C36918"/>
    <w:rsid w:val="00C4397E"/>
    <w:rsid w:val="00C43FE3"/>
    <w:rsid w:val="00C440FA"/>
    <w:rsid w:val="00C467CD"/>
    <w:rsid w:val="00C500D2"/>
    <w:rsid w:val="00C52240"/>
    <w:rsid w:val="00C5295F"/>
    <w:rsid w:val="00C52AA1"/>
    <w:rsid w:val="00C55E89"/>
    <w:rsid w:val="00C5692A"/>
    <w:rsid w:val="00C56991"/>
    <w:rsid w:val="00C62175"/>
    <w:rsid w:val="00C6440B"/>
    <w:rsid w:val="00C65D8B"/>
    <w:rsid w:val="00C6626B"/>
    <w:rsid w:val="00C6686F"/>
    <w:rsid w:val="00C6771C"/>
    <w:rsid w:val="00C70765"/>
    <w:rsid w:val="00C71D7A"/>
    <w:rsid w:val="00C725DC"/>
    <w:rsid w:val="00C72868"/>
    <w:rsid w:val="00C731EC"/>
    <w:rsid w:val="00C754FB"/>
    <w:rsid w:val="00C77F94"/>
    <w:rsid w:val="00C77FBA"/>
    <w:rsid w:val="00C81C41"/>
    <w:rsid w:val="00C82273"/>
    <w:rsid w:val="00C82394"/>
    <w:rsid w:val="00C8389B"/>
    <w:rsid w:val="00C86659"/>
    <w:rsid w:val="00C86FEA"/>
    <w:rsid w:val="00C87F52"/>
    <w:rsid w:val="00C93E32"/>
    <w:rsid w:val="00CA2610"/>
    <w:rsid w:val="00CA39AE"/>
    <w:rsid w:val="00CA39D6"/>
    <w:rsid w:val="00CA48AB"/>
    <w:rsid w:val="00CA4B19"/>
    <w:rsid w:val="00CA63CC"/>
    <w:rsid w:val="00CA77E0"/>
    <w:rsid w:val="00CB10CC"/>
    <w:rsid w:val="00CB278F"/>
    <w:rsid w:val="00CB6E75"/>
    <w:rsid w:val="00CC07A9"/>
    <w:rsid w:val="00CC0C0E"/>
    <w:rsid w:val="00CC2FDC"/>
    <w:rsid w:val="00CC7266"/>
    <w:rsid w:val="00CC7419"/>
    <w:rsid w:val="00CD0633"/>
    <w:rsid w:val="00CD0FA9"/>
    <w:rsid w:val="00CD1B0E"/>
    <w:rsid w:val="00CD1FB2"/>
    <w:rsid w:val="00CD2A29"/>
    <w:rsid w:val="00CD3AC3"/>
    <w:rsid w:val="00CD448A"/>
    <w:rsid w:val="00CD4EBD"/>
    <w:rsid w:val="00CE186A"/>
    <w:rsid w:val="00CE1E7D"/>
    <w:rsid w:val="00CE26C9"/>
    <w:rsid w:val="00CE3810"/>
    <w:rsid w:val="00CE5CB9"/>
    <w:rsid w:val="00CE5DFD"/>
    <w:rsid w:val="00CF17A5"/>
    <w:rsid w:val="00CF1DCD"/>
    <w:rsid w:val="00CF2ACA"/>
    <w:rsid w:val="00CF34E2"/>
    <w:rsid w:val="00CF354C"/>
    <w:rsid w:val="00CF3B7C"/>
    <w:rsid w:val="00D0242C"/>
    <w:rsid w:val="00D028B4"/>
    <w:rsid w:val="00D040E5"/>
    <w:rsid w:val="00D06AE9"/>
    <w:rsid w:val="00D15C5C"/>
    <w:rsid w:val="00D15F58"/>
    <w:rsid w:val="00D170E1"/>
    <w:rsid w:val="00D17738"/>
    <w:rsid w:val="00D21A90"/>
    <w:rsid w:val="00D22685"/>
    <w:rsid w:val="00D26BFD"/>
    <w:rsid w:val="00D31329"/>
    <w:rsid w:val="00D346D5"/>
    <w:rsid w:val="00D34DD2"/>
    <w:rsid w:val="00D377CC"/>
    <w:rsid w:val="00D40657"/>
    <w:rsid w:val="00D4309B"/>
    <w:rsid w:val="00D45B26"/>
    <w:rsid w:val="00D46242"/>
    <w:rsid w:val="00D51AE5"/>
    <w:rsid w:val="00D52854"/>
    <w:rsid w:val="00D542EC"/>
    <w:rsid w:val="00D61344"/>
    <w:rsid w:val="00D65E20"/>
    <w:rsid w:val="00D66C1D"/>
    <w:rsid w:val="00D67FE1"/>
    <w:rsid w:val="00D71063"/>
    <w:rsid w:val="00D73288"/>
    <w:rsid w:val="00D75A9A"/>
    <w:rsid w:val="00D75C19"/>
    <w:rsid w:val="00D822C9"/>
    <w:rsid w:val="00D85A30"/>
    <w:rsid w:val="00D8781F"/>
    <w:rsid w:val="00D87AEA"/>
    <w:rsid w:val="00D90E79"/>
    <w:rsid w:val="00D91F19"/>
    <w:rsid w:val="00D9377C"/>
    <w:rsid w:val="00D94114"/>
    <w:rsid w:val="00D95AEF"/>
    <w:rsid w:val="00DA2EAE"/>
    <w:rsid w:val="00DA3F79"/>
    <w:rsid w:val="00DA7777"/>
    <w:rsid w:val="00DA7840"/>
    <w:rsid w:val="00DB22C7"/>
    <w:rsid w:val="00DB2FAE"/>
    <w:rsid w:val="00DB48F9"/>
    <w:rsid w:val="00DB4FB9"/>
    <w:rsid w:val="00DB531C"/>
    <w:rsid w:val="00DB5B7B"/>
    <w:rsid w:val="00DB5FFF"/>
    <w:rsid w:val="00DB6DA3"/>
    <w:rsid w:val="00DC3AFA"/>
    <w:rsid w:val="00DC3D82"/>
    <w:rsid w:val="00DC4944"/>
    <w:rsid w:val="00DC4F52"/>
    <w:rsid w:val="00DC61BB"/>
    <w:rsid w:val="00DD0EA7"/>
    <w:rsid w:val="00DD4658"/>
    <w:rsid w:val="00DD50FA"/>
    <w:rsid w:val="00DE0B91"/>
    <w:rsid w:val="00DE3B98"/>
    <w:rsid w:val="00DE3E63"/>
    <w:rsid w:val="00DE4EF2"/>
    <w:rsid w:val="00DE717E"/>
    <w:rsid w:val="00DF3CB9"/>
    <w:rsid w:val="00DF3E70"/>
    <w:rsid w:val="00DF45A3"/>
    <w:rsid w:val="00DF5A4C"/>
    <w:rsid w:val="00DF736C"/>
    <w:rsid w:val="00E00571"/>
    <w:rsid w:val="00E018F0"/>
    <w:rsid w:val="00E02DC5"/>
    <w:rsid w:val="00E03F15"/>
    <w:rsid w:val="00E05174"/>
    <w:rsid w:val="00E06356"/>
    <w:rsid w:val="00E06735"/>
    <w:rsid w:val="00E103C1"/>
    <w:rsid w:val="00E10756"/>
    <w:rsid w:val="00E12AC1"/>
    <w:rsid w:val="00E14946"/>
    <w:rsid w:val="00E15C1A"/>
    <w:rsid w:val="00E17661"/>
    <w:rsid w:val="00E21082"/>
    <w:rsid w:val="00E23048"/>
    <w:rsid w:val="00E24C56"/>
    <w:rsid w:val="00E267A9"/>
    <w:rsid w:val="00E30A11"/>
    <w:rsid w:val="00E319F3"/>
    <w:rsid w:val="00E3276C"/>
    <w:rsid w:val="00E33626"/>
    <w:rsid w:val="00E42C5B"/>
    <w:rsid w:val="00E4300C"/>
    <w:rsid w:val="00E46238"/>
    <w:rsid w:val="00E46DC5"/>
    <w:rsid w:val="00E47A10"/>
    <w:rsid w:val="00E50C44"/>
    <w:rsid w:val="00E50E83"/>
    <w:rsid w:val="00E525A6"/>
    <w:rsid w:val="00E5356B"/>
    <w:rsid w:val="00E54D9C"/>
    <w:rsid w:val="00E566B8"/>
    <w:rsid w:val="00E66578"/>
    <w:rsid w:val="00E66FA6"/>
    <w:rsid w:val="00E67191"/>
    <w:rsid w:val="00E708C1"/>
    <w:rsid w:val="00E71297"/>
    <w:rsid w:val="00E71A13"/>
    <w:rsid w:val="00E7423B"/>
    <w:rsid w:val="00E74A32"/>
    <w:rsid w:val="00E74B79"/>
    <w:rsid w:val="00E75199"/>
    <w:rsid w:val="00E761A3"/>
    <w:rsid w:val="00E85B96"/>
    <w:rsid w:val="00E861D8"/>
    <w:rsid w:val="00E865F5"/>
    <w:rsid w:val="00E87516"/>
    <w:rsid w:val="00E90A8D"/>
    <w:rsid w:val="00E90C13"/>
    <w:rsid w:val="00E9121E"/>
    <w:rsid w:val="00E9174E"/>
    <w:rsid w:val="00E937BD"/>
    <w:rsid w:val="00E9392A"/>
    <w:rsid w:val="00EA32F4"/>
    <w:rsid w:val="00EA393F"/>
    <w:rsid w:val="00EA4643"/>
    <w:rsid w:val="00EA66A3"/>
    <w:rsid w:val="00EB218F"/>
    <w:rsid w:val="00EB7A97"/>
    <w:rsid w:val="00EB7BD7"/>
    <w:rsid w:val="00EC0C03"/>
    <w:rsid w:val="00EC1377"/>
    <w:rsid w:val="00EC16D4"/>
    <w:rsid w:val="00EC23CD"/>
    <w:rsid w:val="00EC3544"/>
    <w:rsid w:val="00EC6203"/>
    <w:rsid w:val="00EC654E"/>
    <w:rsid w:val="00EC67AB"/>
    <w:rsid w:val="00EC6897"/>
    <w:rsid w:val="00EC6D8F"/>
    <w:rsid w:val="00EC7CE5"/>
    <w:rsid w:val="00ED24A0"/>
    <w:rsid w:val="00ED3ACE"/>
    <w:rsid w:val="00ED50B1"/>
    <w:rsid w:val="00ED5329"/>
    <w:rsid w:val="00ED618A"/>
    <w:rsid w:val="00ED7C56"/>
    <w:rsid w:val="00EE004B"/>
    <w:rsid w:val="00EE3A87"/>
    <w:rsid w:val="00EE557B"/>
    <w:rsid w:val="00EE5AD8"/>
    <w:rsid w:val="00EE6121"/>
    <w:rsid w:val="00EE693F"/>
    <w:rsid w:val="00EE7830"/>
    <w:rsid w:val="00EF046E"/>
    <w:rsid w:val="00EF739F"/>
    <w:rsid w:val="00F00F1B"/>
    <w:rsid w:val="00F0173D"/>
    <w:rsid w:val="00F02502"/>
    <w:rsid w:val="00F027A8"/>
    <w:rsid w:val="00F04313"/>
    <w:rsid w:val="00F06051"/>
    <w:rsid w:val="00F105B1"/>
    <w:rsid w:val="00F10DD5"/>
    <w:rsid w:val="00F11127"/>
    <w:rsid w:val="00F11ADB"/>
    <w:rsid w:val="00F1447F"/>
    <w:rsid w:val="00F20B42"/>
    <w:rsid w:val="00F22E01"/>
    <w:rsid w:val="00F23A2F"/>
    <w:rsid w:val="00F25B58"/>
    <w:rsid w:val="00F32FCA"/>
    <w:rsid w:val="00F3575D"/>
    <w:rsid w:val="00F35C24"/>
    <w:rsid w:val="00F3619E"/>
    <w:rsid w:val="00F36890"/>
    <w:rsid w:val="00F42EFD"/>
    <w:rsid w:val="00F46980"/>
    <w:rsid w:val="00F5227B"/>
    <w:rsid w:val="00F53F26"/>
    <w:rsid w:val="00F56E9F"/>
    <w:rsid w:val="00F57C6F"/>
    <w:rsid w:val="00F657A4"/>
    <w:rsid w:val="00F66DAA"/>
    <w:rsid w:val="00F7164D"/>
    <w:rsid w:val="00F76940"/>
    <w:rsid w:val="00F76998"/>
    <w:rsid w:val="00F77DE3"/>
    <w:rsid w:val="00F77F48"/>
    <w:rsid w:val="00F81FC7"/>
    <w:rsid w:val="00F8273A"/>
    <w:rsid w:val="00F82BF9"/>
    <w:rsid w:val="00F85B30"/>
    <w:rsid w:val="00F86432"/>
    <w:rsid w:val="00F86BDF"/>
    <w:rsid w:val="00F91D36"/>
    <w:rsid w:val="00F93747"/>
    <w:rsid w:val="00F97E1C"/>
    <w:rsid w:val="00FA48E2"/>
    <w:rsid w:val="00FA5B7B"/>
    <w:rsid w:val="00FA6A93"/>
    <w:rsid w:val="00FA7C84"/>
    <w:rsid w:val="00FB0002"/>
    <w:rsid w:val="00FB5868"/>
    <w:rsid w:val="00FB6021"/>
    <w:rsid w:val="00FB6FDA"/>
    <w:rsid w:val="00FC0DE2"/>
    <w:rsid w:val="00FC1EC2"/>
    <w:rsid w:val="00FC30A9"/>
    <w:rsid w:val="00FC3A06"/>
    <w:rsid w:val="00FC483E"/>
    <w:rsid w:val="00FC50BA"/>
    <w:rsid w:val="00FC5AEF"/>
    <w:rsid w:val="00FC739F"/>
    <w:rsid w:val="00FD3AC7"/>
    <w:rsid w:val="00FD3F10"/>
    <w:rsid w:val="00FD48DA"/>
    <w:rsid w:val="00FD5B76"/>
    <w:rsid w:val="00FD6A0C"/>
    <w:rsid w:val="00FD7B00"/>
    <w:rsid w:val="00FE16B7"/>
    <w:rsid w:val="00FE1896"/>
    <w:rsid w:val="00FE38EF"/>
    <w:rsid w:val="00FE6685"/>
    <w:rsid w:val="00FF2161"/>
    <w:rsid w:val="00FF33CC"/>
    <w:rsid w:val="00FF35B3"/>
    <w:rsid w:val="00FF40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46652">
      <w:bodyDiv w:val="1"/>
      <w:marLeft w:val="0"/>
      <w:marRight w:val="0"/>
      <w:marTop w:val="0"/>
      <w:marBottom w:val="0"/>
      <w:divBdr>
        <w:top w:val="none" w:sz="0" w:space="0" w:color="auto"/>
        <w:left w:val="none" w:sz="0" w:space="0" w:color="auto"/>
        <w:bottom w:val="none" w:sz="0" w:space="0" w:color="auto"/>
        <w:right w:val="none" w:sz="0" w:space="0" w:color="auto"/>
      </w:divBdr>
    </w:div>
    <w:div w:id="336659561">
      <w:bodyDiv w:val="1"/>
      <w:marLeft w:val="0"/>
      <w:marRight w:val="0"/>
      <w:marTop w:val="0"/>
      <w:marBottom w:val="0"/>
      <w:divBdr>
        <w:top w:val="none" w:sz="0" w:space="0" w:color="auto"/>
        <w:left w:val="none" w:sz="0" w:space="0" w:color="auto"/>
        <w:bottom w:val="none" w:sz="0" w:space="0" w:color="auto"/>
        <w:right w:val="none" w:sz="0" w:space="0" w:color="auto"/>
      </w:divBdr>
    </w:div>
    <w:div w:id="338116635">
      <w:bodyDiv w:val="1"/>
      <w:marLeft w:val="0"/>
      <w:marRight w:val="0"/>
      <w:marTop w:val="0"/>
      <w:marBottom w:val="0"/>
      <w:divBdr>
        <w:top w:val="none" w:sz="0" w:space="0" w:color="auto"/>
        <w:left w:val="none" w:sz="0" w:space="0" w:color="auto"/>
        <w:bottom w:val="none" w:sz="0" w:space="0" w:color="auto"/>
        <w:right w:val="none" w:sz="0" w:space="0" w:color="auto"/>
      </w:divBdr>
    </w:div>
    <w:div w:id="596716282">
      <w:bodyDiv w:val="1"/>
      <w:marLeft w:val="0"/>
      <w:marRight w:val="0"/>
      <w:marTop w:val="0"/>
      <w:marBottom w:val="0"/>
      <w:divBdr>
        <w:top w:val="none" w:sz="0" w:space="0" w:color="auto"/>
        <w:left w:val="none" w:sz="0" w:space="0" w:color="auto"/>
        <w:bottom w:val="none" w:sz="0" w:space="0" w:color="auto"/>
        <w:right w:val="none" w:sz="0" w:space="0" w:color="auto"/>
      </w:divBdr>
    </w:div>
    <w:div w:id="673920591">
      <w:bodyDiv w:val="1"/>
      <w:marLeft w:val="0"/>
      <w:marRight w:val="0"/>
      <w:marTop w:val="0"/>
      <w:marBottom w:val="0"/>
      <w:divBdr>
        <w:top w:val="none" w:sz="0" w:space="0" w:color="auto"/>
        <w:left w:val="none" w:sz="0" w:space="0" w:color="auto"/>
        <w:bottom w:val="none" w:sz="0" w:space="0" w:color="auto"/>
        <w:right w:val="none" w:sz="0" w:space="0" w:color="auto"/>
      </w:divBdr>
    </w:div>
    <w:div w:id="694114417">
      <w:bodyDiv w:val="1"/>
      <w:marLeft w:val="0"/>
      <w:marRight w:val="0"/>
      <w:marTop w:val="0"/>
      <w:marBottom w:val="0"/>
      <w:divBdr>
        <w:top w:val="none" w:sz="0" w:space="0" w:color="auto"/>
        <w:left w:val="none" w:sz="0" w:space="0" w:color="auto"/>
        <w:bottom w:val="none" w:sz="0" w:space="0" w:color="auto"/>
        <w:right w:val="none" w:sz="0" w:space="0" w:color="auto"/>
      </w:divBdr>
    </w:div>
    <w:div w:id="1039477444">
      <w:bodyDiv w:val="1"/>
      <w:marLeft w:val="0"/>
      <w:marRight w:val="0"/>
      <w:marTop w:val="0"/>
      <w:marBottom w:val="0"/>
      <w:divBdr>
        <w:top w:val="none" w:sz="0" w:space="0" w:color="auto"/>
        <w:left w:val="none" w:sz="0" w:space="0" w:color="auto"/>
        <w:bottom w:val="none" w:sz="0" w:space="0" w:color="auto"/>
        <w:right w:val="none" w:sz="0" w:space="0" w:color="auto"/>
      </w:divBdr>
    </w:div>
    <w:div w:id="1247155202">
      <w:bodyDiv w:val="1"/>
      <w:marLeft w:val="0"/>
      <w:marRight w:val="0"/>
      <w:marTop w:val="0"/>
      <w:marBottom w:val="0"/>
      <w:divBdr>
        <w:top w:val="none" w:sz="0" w:space="0" w:color="auto"/>
        <w:left w:val="none" w:sz="0" w:space="0" w:color="auto"/>
        <w:bottom w:val="none" w:sz="0" w:space="0" w:color="auto"/>
        <w:right w:val="none" w:sz="0" w:space="0" w:color="auto"/>
      </w:divBdr>
    </w:div>
    <w:div w:id="1432968775">
      <w:bodyDiv w:val="1"/>
      <w:marLeft w:val="0"/>
      <w:marRight w:val="0"/>
      <w:marTop w:val="0"/>
      <w:marBottom w:val="0"/>
      <w:divBdr>
        <w:top w:val="none" w:sz="0" w:space="0" w:color="auto"/>
        <w:left w:val="none" w:sz="0" w:space="0" w:color="auto"/>
        <w:bottom w:val="none" w:sz="0" w:space="0" w:color="auto"/>
        <w:right w:val="none" w:sz="0" w:space="0" w:color="auto"/>
      </w:divBdr>
    </w:div>
    <w:div w:id="1759666562">
      <w:bodyDiv w:val="1"/>
      <w:marLeft w:val="0"/>
      <w:marRight w:val="0"/>
      <w:marTop w:val="0"/>
      <w:marBottom w:val="0"/>
      <w:divBdr>
        <w:top w:val="none" w:sz="0" w:space="0" w:color="auto"/>
        <w:left w:val="none" w:sz="0" w:space="0" w:color="auto"/>
        <w:bottom w:val="none" w:sz="0" w:space="0" w:color="auto"/>
        <w:right w:val="none" w:sz="0" w:space="0" w:color="auto"/>
      </w:divBdr>
    </w:div>
    <w:div w:id="204998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222C9-D48E-4203-B68B-C0CB9061F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2236</Words>
  <Characters>12078</Characters>
  <Application>Microsoft Office Word</Application>
  <DocSecurity>0</DocSecurity>
  <Lines>100</Lines>
  <Paragraphs>28</Paragraphs>
  <ScaleCrop>false</ScaleCrop>
  <HeadingPairs>
    <vt:vector size="2" baseType="variant">
      <vt:variant>
        <vt:lpstr>Τίτλος</vt:lpstr>
      </vt:variant>
      <vt:variant>
        <vt:i4>1</vt:i4>
      </vt:variant>
    </vt:vector>
  </HeadingPairs>
  <TitlesOfParts>
    <vt:vector size="1" baseType="lpstr">
      <vt:lpstr>ΕΥΔ/ΕΠ-ΥΜΕΠΕΡΑΑ_Πρόσκληση_Ολοκληρωμένη Διαχείριση Αποβλήτων_v5</vt:lpstr>
    </vt:vector>
  </TitlesOfParts>
  <Company>Hewlett-Packard Company</Company>
  <LinksUpToDate>false</LinksUpToDate>
  <CharactersWithSpaces>14286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ΕΥΔ/ΕΠ-ΥΜΕΠΕΡΑΑ_Πρόσκληση_Ολοκληρωμένη Διαχείριση Αποβλήτων_v5</dc:title>
  <dc:creator>Κολοκοτρώνη Κωνσταντίνα</dc:creator>
  <dc:description>Generated by Oracle BI Publisher 11.1.1.7.0</dc:description>
  <cp:lastModifiedBy>Ροκίδης, Κλεάνθης</cp:lastModifiedBy>
  <cp:revision>2</cp:revision>
  <cp:lastPrinted>2016-04-26T09:40:00Z</cp:lastPrinted>
  <dcterms:created xsi:type="dcterms:W3CDTF">2016-10-11T13:34:00Z</dcterms:created>
  <dcterms:modified xsi:type="dcterms:W3CDTF">2016-10-11T13:34:00Z</dcterms:modified>
</cp:coreProperties>
</file>